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0CC1C">
      <w:pPr>
        <w:spacing w:line="540" w:lineRule="exact"/>
        <w:jc w:val="center"/>
        <w:rPr>
          <w:rFonts w:hint="eastAsia" w:ascii="仿宋_GB2312" w:eastAsia="仿宋_GB2312"/>
          <w:sz w:val="28"/>
          <w:szCs w:val="28"/>
        </w:rPr>
      </w:pPr>
      <w:bookmarkStart w:id="0" w:name="_GoBack"/>
      <w:r>
        <w:rPr>
          <w:rFonts w:hint="eastAsia" w:ascii="宋体" w:hAnsi="宋体"/>
          <w:b/>
          <w:bCs/>
          <w:sz w:val="36"/>
          <w:szCs w:val="36"/>
        </w:rPr>
        <w:t>山西省建设项目招标方案和不招标核准表</w:t>
      </w:r>
    </w:p>
    <w:bookmarkEnd w:id="0"/>
    <w:p w14:paraId="065A448C">
      <w:pPr>
        <w:ind w:firstLine="6300" w:firstLineChars="3000"/>
        <w:rPr>
          <w:rFonts w:ascii="宋体" w:hAnsi="宋体"/>
        </w:rPr>
      </w:pPr>
      <w:r>
        <w:rPr>
          <w:rFonts w:hint="eastAsia" w:ascii="宋体" w:hAnsi="宋体"/>
        </w:rPr>
        <w:t>核准号：2025—</w:t>
      </w:r>
      <w:r>
        <w:rPr>
          <w:rFonts w:ascii="宋体" w:hAnsi="宋体"/>
        </w:rPr>
        <w:t>222</w:t>
      </w:r>
    </w:p>
    <w:tbl>
      <w:tblPr>
        <w:tblStyle w:val="3"/>
        <w:tblW w:w="4999" w:type="pct"/>
        <w:tblInd w:w="0" w:type="dxa"/>
        <w:tblLayout w:type="fixed"/>
        <w:tblCellMar>
          <w:top w:w="0" w:type="dxa"/>
          <w:left w:w="108" w:type="dxa"/>
          <w:bottom w:w="0" w:type="dxa"/>
          <w:right w:w="108" w:type="dxa"/>
        </w:tblCellMar>
      </w:tblPr>
      <w:tblGrid>
        <w:gridCol w:w="1646"/>
        <w:gridCol w:w="942"/>
        <w:gridCol w:w="819"/>
        <w:gridCol w:w="728"/>
        <w:gridCol w:w="857"/>
        <w:gridCol w:w="760"/>
        <w:gridCol w:w="955"/>
        <w:gridCol w:w="857"/>
        <w:gridCol w:w="956"/>
      </w:tblGrid>
      <w:tr w14:paraId="2176207A">
        <w:tblPrEx>
          <w:tblCellMar>
            <w:top w:w="0" w:type="dxa"/>
            <w:left w:w="108" w:type="dxa"/>
            <w:bottom w:w="0" w:type="dxa"/>
            <w:right w:w="108" w:type="dxa"/>
          </w:tblCellMar>
        </w:tblPrEx>
        <w:trPr>
          <w:trHeight w:val="821" w:hRule="atLeast"/>
        </w:trPr>
        <w:tc>
          <w:tcPr>
            <w:tcW w:w="966" w:type="pct"/>
            <w:tcBorders>
              <w:top w:val="single" w:color="auto" w:sz="4" w:space="0"/>
              <w:left w:val="single" w:color="auto" w:sz="4" w:space="0"/>
              <w:bottom w:val="single" w:color="auto" w:sz="4" w:space="0"/>
              <w:right w:val="single" w:color="auto" w:sz="4" w:space="0"/>
            </w:tcBorders>
            <w:noWrap w:val="0"/>
            <w:vAlign w:val="center"/>
          </w:tcPr>
          <w:p w14:paraId="77F85955">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1461" w:type="pct"/>
            <w:gridSpan w:val="3"/>
            <w:tcBorders>
              <w:top w:val="single" w:color="auto" w:sz="4" w:space="0"/>
              <w:left w:val="nil"/>
              <w:bottom w:val="single" w:color="auto" w:sz="4" w:space="0"/>
              <w:right w:val="single" w:color="auto" w:sz="4" w:space="0"/>
            </w:tcBorders>
            <w:noWrap w:val="0"/>
            <w:vAlign w:val="center"/>
          </w:tcPr>
          <w:p w14:paraId="1F0ED4CA">
            <w:pPr>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陵川县夺火乡凤凰村</w:t>
            </w:r>
          </w:p>
          <w:p w14:paraId="52628C23">
            <w:pPr>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2026年特色旅居配套基础设施建设以工代赈项目</w:t>
            </w:r>
          </w:p>
        </w:tc>
        <w:tc>
          <w:tcPr>
            <w:tcW w:w="949" w:type="pct"/>
            <w:gridSpan w:val="2"/>
            <w:tcBorders>
              <w:top w:val="single" w:color="auto" w:sz="4" w:space="0"/>
              <w:left w:val="nil"/>
              <w:bottom w:val="single" w:color="auto" w:sz="4" w:space="0"/>
              <w:right w:val="single" w:color="auto" w:sz="4" w:space="0"/>
            </w:tcBorders>
            <w:noWrap w:val="0"/>
            <w:vAlign w:val="center"/>
          </w:tcPr>
          <w:p w14:paraId="11E7C6FA">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1624" w:type="pct"/>
            <w:gridSpan w:val="3"/>
            <w:tcBorders>
              <w:top w:val="single" w:color="auto" w:sz="4" w:space="0"/>
              <w:left w:val="nil"/>
              <w:bottom w:val="single" w:color="auto" w:sz="4" w:space="0"/>
              <w:right w:val="single" w:color="auto" w:sz="4" w:space="0"/>
            </w:tcBorders>
            <w:noWrap w:val="0"/>
            <w:vAlign w:val="center"/>
          </w:tcPr>
          <w:p w14:paraId="3098EEA8">
            <w:pPr>
              <w:spacing w:line="340" w:lineRule="exact"/>
              <w:jc w:val="center"/>
              <w:rPr>
                <w:rFonts w:ascii="仿宋_GB2312" w:hAnsi="仿宋_GB2312" w:eastAsia="仿宋_GB2312" w:cs="仿宋_GB2312"/>
                <w:spacing w:val="-4"/>
                <w:szCs w:val="21"/>
              </w:rPr>
            </w:pPr>
            <w:r>
              <w:rPr>
                <w:rFonts w:hint="eastAsia" w:ascii="仿宋_GB2312" w:hAnsi="仿宋_GB2312" w:eastAsia="仿宋_GB2312" w:cs="仿宋_GB2312"/>
                <w:spacing w:val="-4"/>
                <w:szCs w:val="21"/>
              </w:rPr>
              <w:t>陵川县夺火乡人民政府</w:t>
            </w:r>
          </w:p>
        </w:tc>
      </w:tr>
      <w:tr w14:paraId="33BC41B8">
        <w:tblPrEx>
          <w:tblCellMar>
            <w:top w:w="0" w:type="dxa"/>
            <w:left w:w="108" w:type="dxa"/>
            <w:bottom w:w="0" w:type="dxa"/>
            <w:right w:w="108" w:type="dxa"/>
          </w:tblCellMar>
        </w:tblPrEx>
        <w:trPr>
          <w:trHeight w:val="1307" w:hRule="atLeast"/>
        </w:trPr>
        <w:tc>
          <w:tcPr>
            <w:tcW w:w="966" w:type="pct"/>
            <w:vMerge w:val="restart"/>
            <w:tcBorders>
              <w:top w:val="nil"/>
              <w:left w:val="single" w:color="auto" w:sz="4" w:space="0"/>
              <w:bottom w:val="single" w:color="auto" w:sz="4" w:space="0"/>
              <w:right w:val="single" w:color="auto" w:sz="4" w:space="0"/>
            </w:tcBorders>
            <w:noWrap w:val="0"/>
            <w:vAlign w:val="center"/>
          </w:tcPr>
          <w:p w14:paraId="19D152C8">
            <w:pPr>
              <w:jc w:val="center"/>
              <w:rPr>
                <w:rFonts w:hint="eastAsia" w:ascii="仿宋_GB2312" w:hAnsi="仿宋_GB2312" w:eastAsia="仿宋_GB2312" w:cs="仿宋_GB2312"/>
                <w:sz w:val="24"/>
              </w:rPr>
            </w:pPr>
          </w:p>
        </w:tc>
        <w:tc>
          <w:tcPr>
            <w:tcW w:w="553" w:type="pct"/>
            <w:vMerge w:val="restart"/>
            <w:tcBorders>
              <w:top w:val="nil"/>
              <w:left w:val="nil"/>
              <w:bottom w:val="single" w:color="auto" w:sz="4" w:space="0"/>
              <w:right w:val="single" w:color="auto" w:sz="4" w:space="0"/>
            </w:tcBorders>
            <w:noWrap w:val="0"/>
            <w:vAlign w:val="center"/>
          </w:tcPr>
          <w:p w14:paraId="6DE8FE75">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投资额（万元）</w:t>
            </w:r>
          </w:p>
        </w:tc>
        <w:tc>
          <w:tcPr>
            <w:tcW w:w="908" w:type="pct"/>
            <w:gridSpan w:val="2"/>
            <w:tcBorders>
              <w:top w:val="single" w:color="auto" w:sz="4" w:space="0"/>
              <w:left w:val="nil"/>
              <w:bottom w:val="single" w:color="auto" w:sz="4" w:space="0"/>
              <w:right w:val="single" w:color="auto" w:sz="4" w:space="0"/>
            </w:tcBorders>
            <w:noWrap w:val="0"/>
            <w:vAlign w:val="center"/>
          </w:tcPr>
          <w:p w14:paraId="7330070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949" w:type="pct"/>
            <w:gridSpan w:val="2"/>
            <w:tcBorders>
              <w:top w:val="single" w:color="auto" w:sz="4" w:space="0"/>
              <w:left w:val="nil"/>
              <w:bottom w:val="single" w:color="auto" w:sz="4" w:space="0"/>
              <w:right w:val="single" w:color="auto" w:sz="4" w:space="0"/>
            </w:tcBorders>
            <w:noWrap w:val="0"/>
            <w:vAlign w:val="center"/>
          </w:tcPr>
          <w:p w14:paraId="7093E2A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063" w:type="pct"/>
            <w:gridSpan w:val="2"/>
            <w:tcBorders>
              <w:top w:val="single" w:color="auto" w:sz="4" w:space="0"/>
              <w:left w:val="nil"/>
              <w:bottom w:val="single" w:color="auto" w:sz="4" w:space="0"/>
              <w:right w:val="single" w:color="auto" w:sz="4" w:space="0"/>
            </w:tcBorders>
            <w:noWrap w:val="0"/>
            <w:vAlign w:val="center"/>
          </w:tcPr>
          <w:p w14:paraId="70B722C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561" w:type="pct"/>
            <w:tcBorders>
              <w:top w:val="single" w:color="auto" w:sz="4" w:space="0"/>
              <w:left w:val="nil"/>
              <w:bottom w:val="single" w:color="auto" w:sz="4" w:space="0"/>
              <w:right w:val="single" w:color="auto" w:sz="4" w:space="0"/>
            </w:tcBorders>
            <w:noWrap w:val="0"/>
            <w:vAlign w:val="center"/>
          </w:tcPr>
          <w:p w14:paraId="108EC11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1390626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2A8EFA1C">
        <w:tblPrEx>
          <w:tblCellMar>
            <w:top w:w="0" w:type="dxa"/>
            <w:left w:w="108" w:type="dxa"/>
            <w:bottom w:w="0" w:type="dxa"/>
            <w:right w:w="108" w:type="dxa"/>
          </w:tblCellMar>
        </w:tblPrEx>
        <w:trPr>
          <w:trHeight w:val="1208" w:hRule="atLeast"/>
        </w:trPr>
        <w:tc>
          <w:tcPr>
            <w:tcW w:w="966" w:type="pct"/>
            <w:vMerge w:val="continue"/>
            <w:tcBorders>
              <w:top w:val="nil"/>
              <w:left w:val="single" w:color="auto" w:sz="4" w:space="0"/>
              <w:bottom w:val="single" w:color="auto" w:sz="4" w:space="0"/>
              <w:right w:val="single" w:color="auto" w:sz="4" w:space="0"/>
            </w:tcBorders>
            <w:noWrap w:val="0"/>
            <w:vAlign w:val="center"/>
          </w:tcPr>
          <w:p w14:paraId="36CEA4D9">
            <w:pPr>
              <w:widowControl/>
              <w:jc w:val="left"/>
              <w:rPr>
                <w:rFonts w:hint="eastAsia" w:ascii="仿宋_GB2312" w:hAnsi="仿宋_GB2312" w:eastAsia="仿宋_GB2312" w:cs="仿宋_GB2312"/>
                <w:sz w:val="24"/>
              </w:rPr>
            </w:pPr>
          </w:p>
        </w:tc>
        <w:tc>
          <w:tcPr>
            <w:tcW w:w="553" w:type="pct"/>
            <w:vMerge w:val="continue"/>
            <w:tcBorders>
              <w:top w:val="nil"/>
              <w:left w:val="nil"/>
              <w:bottom w:val="single" w:color="auto" w:sz="4" w:space="0"/>
              <w:right w:val="single" w:color="auto" w:sz="4" w:space="0"/>
            </w:tcBorders>
            <w:noWrap w:val="0"/>
            <w:vAlign w:val="center"/>
          </w:tcPr>
          <w:p w14:paraId="7A7F7A0A">
            <w:pPr>
              <w:widowControl/>
              <w:jc w:val="left"/>
              <w:rPr>
                <w:rFonts w:hint="eastAsia" w:ascii="仿宋_GB2312" w:hAnsi="仿宋_GB2312" w:eastAsia="仿宋_GB2312" w:cs="仿宋_GB2312"/>
                <w:szCs w:val="21"/>
              </w:rPr>
            </w:pPr>
          </w:p>
        </w:tc>
        <w:tc>
          <w:tcPr>
            <w:tcW w:w="481" w:type="pct"/>
            <w:tcBorders>
              <w:top w:val="single" w:color="auto" w:sz="4" w:space="0"/>
              <w:left w:val="nil"/>
              <w:bottom w:val="single" w:color="auto" w:sz="4" w:space="0"/>
              <w:right w:val="single" w:color="auto" w:sz="4" w:space="0"/>
            </w:tcBorders>
            <w:noWrap w:val="0"/>
            <w:vAlign w:val="center"/>
          </w:tcPr>
          <w:p w14:paraId="2EF22309">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427" w:type="pct"/>
            <w:tcBorders>
              <w:top w:val="single" w:color="auto" w:sz="4" w:space="0"/>
              <w:left w:val="nil"/>
              <w:bottom w:val="single" w:color="auto" w:sz="4" w:space="0"/>
              <w:right w:val="single" w:color="auto" w:sz="4" w:space="0"/>
            </w:tcBorders>
            <w:noWrap w:val="0"/>
            <w:vAlign w:val="center"/>
          </w:tcPr>
          <w:p w14:paraId="1F7BC0B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503" w:type="pct"/>
            <w:tcBorders>
              <w:top w:val="single" w:color="auto" w:sz="4" w:space="0"/>
              <w:left w:val="nil"/>
              <w:bottom w:val="single" w:color="auto" w:sz="4" w:space="0"/>
              <w:right w:val="single" w:color="auto" w:sz="4" w:space="0"/>
            </w:tcBorders>
            <w:noWrap w:val="0"/>
            <w:vAlign w:val="center"/>
          </w:tcPr>
          <w:p w14:paraId="41BE9DF4">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446" w:type="pct"/>
            <w:tcBorders>
              <w:top w:val="single" w:color="auto" w:sz="4" w:space="0"/>
              <w:left w:val="nil"/>
              <w:bottom w:val="single" w:color="auto" w:sz="4" w:space="0"/>
              <w:right w:val="single" w:color="auto" w:sz="4" w:space="0"/>
            </w:tcBorders>
            <w:noWrap w:val="0"/>
            <w:vAlign w:val="center"/>
          </w:tcPr>
          <w:p w14:paraId="2ABF6BB4">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560" w:type="pct"/>
            <w:tcBorders>
              <w:top w:val="single" w:color="auto" w:sz="4" w:space="0"/>
              <w:left w:val="nil"/>
              <w:bottom w:val="single" w:color="auto" w:sz="4" w:space="0"/>
              <w:right w:val="single" w:color="auto" w:sz="4" w:space="0"/>
            </w:tcBorders>
            <w:noWrap w:val="0"/>
            <w:vAlign w:val="center"/>
          </w:tcPr>
          <w:p w14:paraId="5B681D9B">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027231E8">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503" w:type="pct"/>
            <w:tcBorders>
              <w:top w:val="single" w:color="auto" w:sz="4" w:space="0"/>
              <w:left w:val="nil"/>
              <w:bottom w:val="single" w:color="auto" w:sz="4" w:space="0"/>
              <w:right w:val="single" w:color="auto" w:sz="4" w:space="0"/>
            </w:tcBorders>
            <w:noWrap w:val="0"/>
            <w:vAlign w:val="center"/>
          </w:tcPr>
          <w:p w14:paraId="450B831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3273E44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561" w:type="pct"/>
            <w:tcBorders>
              <w:top w:val="single" w:color="auto" w:sz="4" w:space="0"/>
              <w:left w:val="nil"/>
              <w:bottom w:val="single" w:color="auto" w:sz="4" w:space="0"/>
              <w:right w:val="single" w:color="auto" w:sz="4" w:space="0"/>
            </w:tcBorders>
            <w:noWrap w:val="0"/>
            <w:vAlign w:val="center"/>
          </w:tcPr>
          <w:p w14:paraId="0E793990">
            <w:pPr>
              <w:jc w:val="center"/>
              <w:rPr>
                <w:rFonts w:hint="eastAsia" w:ascii="仿宋_GB2312" w:hAnsi="仿宋_GB2312" w:eastAsia="仿宋_GB2312" w:cs="仿宋_GB2312"/>
                <w:szCs w:val="21"/>
              </w:rPr>
            </w:pPr>
          </w:p>
        </w:tc>
      </w:tr>
      <w:tr w14:paraId="2E5E37FC">
        <w:tblPrEx>
          <w:tblCellMar>
            <w:top w:w="0" w:type="dxa"/>
            <w:left w:w="108" w:type="dxa"/>
            <w:bottom w:w="0" w:type="dxa"/>
            <w:right w:w="108" w:type="dxa"/>
          </w:tblCellMar>
        </w:tblPrEx>
        <w:trPr>
          <w:trHeight w:val="422" w:hRule="atLeast"/>
        </w:trPr>
        <w:tc>
          <w:tcPr>
            <w:tcW w:w="966" w:type="pct"/>
            <w:tcBorders>
              <w:top w:val="single" w:color="auto" w:sz="4" w:space="0"/>
              <w:left w:val="single" w:color="auto" w:sz="4" w:space="0"/>
              <w:bottom w:val="single" w:color="auto" w:sz="4" w:space="0"/>
              <w:right w:val="single" w:color="auto" w:sz="4" w:space="0"/>
            </w:tcBorders>
            <w:noWrap w:val="0"/>
            <w:vAlign w:val="center"/>
          </w:tcPr>
          <w:p w14:paraId="28782133">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553" w:type="pct"/>
            <w:tcBorders>
              <w:top w:val="single" w:color="auto" w:sz="4" w:space="0"/>
              <w:left w:val="nil"/>
              <w:bottom w:val="single" w:color="auto" w:sz="4" w:space="0"/>
              <w:right w:val="single" w:color="auto" w:sz="4" w:space="0"/>
            </w:tcBorders>
            <w:noWrap w:val="0"/>
            <w:vAlign w:val="center"/>
          </w:tcPr>
          <w:p w14:paraId="10D40E79">
            <w:pPr>
              <w:adjustRightInd w:val="0"/>
              <w:snapToGrid w:val="0"/>
              <w:jc w:val="center"/>
              <w:rPr>
                <w:rFonts w:ascii="仿宋_GB2312" w:hAnsi="仿宋_GB2312" w:eastAsia="仿宋_GB2312" w:cs="仿宋_GB2312"/>
                <w:sz w:val="24"/>
              </w:rPr>
            </w:pPr>
            <w:r>
              <w:rPr>
                <w:rFonts w:ascii="仿宋_GB2312" w:hAnsi="仿宋_GB2312" w:eastAsia="仿宋_GB2312" w:cs="仿宋_GB2312"/>
                <w:sz w:val="24"/>
              </w:rPr>
              <w:t>18.14</w:t>
            </w:r>
          </w:p>
        </w:tc>
        <w:tc>
          <w:tcPr>
            <w:tcW w:w="481" w:type="pct"/>
            <w:tcBorders>
              <w:top w:val="single" w:color="auto" w:sz="4" w:space="0"/>
              <w:left w:val="nil"/>
              <w:bottom w:val="single" w:color="auto" w:sz="4" w:space="0"/>
              <w:right w:val="single" w:color="auto" w:sz="4" w:space="0"/>
            </w:tcBorders>
            <w:noWrap w:val="0"/>
            <w:vAlign w:val="center"/>
          </w:tcPr>
          <w:p w14:paraId="1FF64F7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27" w:type="pct"/>
            <w:tcBorders>
              <w:top w:val="single" w:color="auto" w:sz="4" w:space="0"/>
              <w:left w:val="nil"/>
              <w:bottom w:val="single" w:color="auto" w:sz="4" w:space="0"/>
              <w:right w:val="single" w:color="auto" w:sz="4" w:space="0"/>
            </w:tcBorders>
            <w:noWrap w:val="0"/>
            <w:vAlign w:val="center"/>
          </w:tcPr>
          <w:p w14:paraId="117DF16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03" w:type="pct"/>
            <w:tcBorders>
              <w:top w:val="single" w:color="auto" w:sz="4" w:space="0"/>
              <w:left w:val="nil"/>
              <w:bottom w:val="single" w:color="auto" w:sz="4" w:space="0"/>
              <w:right w:val="single" w:color="auto" w:sz="4" w:space="0"/>
            </w:tcBorders>
            <w:noWrap w:val="0"/>
            <w:vAlign w:val="center"/>
          </w:tcPr>
          <w:p w14:paraId="659641D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446" w:type="pct"/>
            <w:tcBorders>
              <w:top w:val="single" w:color="auto" w:sz="4" w:space="0"/>
              <w:left w:val="nil"/>
              <w:bottom w:val="single" w:color="auto" w:sz="4" w:space="0"/>
              <w:right w:val="single" w:color="auto" w:sz="4" w:space="0"/>
            </w:tcBorders>
            <w:noWrap w:val="0"/>
            <w:vAlign w:val="center"/>
          </w:tcPr>
          <w:p w14:paraId="1F2E5EE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60" w:type="pct"/>
            <w:tcBorders>
              <w:top w:val="single" w:color="auto" w:sz="4" w:space="0"/>
              <w:left w:val="nil"/>
              <w:bottom w:val="single" w:color="auto" w:sz="4" w:space="0"/>
              <w:right w:val="single" w:color="auto" w:sz="4" w:space="0"/>
            </w:tcBorders>
            <w:noWrap w:val="0"/>
            <w:vAlign w:val="center"/>
          </w:tcPr>
          <w:p w14:paraId="0D1D4E0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03" w:type="pct"/>
            <w:tcBorders>
              <w:top w:val="single" w:color="auto" w:sz="4" w:space="0"/>
              <w:left w:val="nil"/>
              <w:bottom w:val="single" w:color="auto" w:sz="4" w:space="0"/>
              <w:right w:val="single" w:color="auto" w:sz="4" w:space="0"/>
            </w:tcBorders>
            <w:noWrap w:val="0"/>
            <w:vAlign w:val="center"/>
          </w:tcPr>
          <w:p w14:paraId="7A2A2CD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61" w:type="pct"/>
            <w:tcBorders>
              <w:top w:val="single" w:color="auto" w:sz="4" w:space="0"/>
              <w:left w:val="nil"/>
              <w:bottom w:val="single" w:color="auto" w:sz="4" w:space="0"/>
              <w:right w:val="single" w:color="auto" w:sz="4" w:space="0"/>
            </w:tcBorders>
            <w:noWrap w:val="0"/>
            <w:vAlign w:val="center"/>
          </w:tcPr>
          <w:p w14:paraId="70570D0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7B4286AF">
        <w:tblPrEx>
          <w:tblCellMar>
            <w:top w:w="0" w:type="dxa"/>
            <w:left w:w="108" w:type="dxa"/>
            <w:bottom w:w="0" w:type="dxa"/>
            <w:right w:w="108" w:type="dxa"/>
          </w:tblCellMar>
        </w:tblPrEx>
        <w:trPr>
          <w:trHeight w:val="422" w:hRule="atLeast"/>
        </w:trPr>
        <w:tc>
          <w:tcPr>
            <w:tcW w:w="966" w:type="pct"/>
            <w:tcBorders>
              <w:top w:val="single" w:color="auto" w:sz="4" w:space="0"/>
              <w:left w:val="single" w:color="auto" w:sz="4" w:space="0"/>
              <w:bottom w:val="single" w:color="auto" w:sz="4" w:space="0"/>
              <w:right w:val="single" w:color="auto" w:sz="4" w:space="0"/>
            </w:tcBorders>
            <w:noWrap w:val="0"/>
            <w:vAlign w:val="center"/>
          </w:tcPr>
          <w:p w14:paraId="0A19C5E5">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553" w:type="pct"/>
            <w:tcBorders>
              <w:top w:val="single" w:color="auto" w:sz="4" w:space="0"/>
              <w:left w:val="nil"/>
              <w:bottom w:val="single" w:color="auto" w:sz="4" w:space="0"/>
              <w:right w:val="single" w:color="auto" w:sz="4" w:space="0"/>
            </w:tcBorders>
            <w:noWrap w:val="0"/>
            <w:vAlign w:val="center"/>
          </w:tcPr>
          <w:p w14:paraId="3716A569">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792.90</w:t>
            </w:r>
          </w:p>
        </w:tc>
        <w:tc>
          <w:tcPr>
            <w:tcW w:w="481" w:type="pct"/>
            <w:tcBorders>
              <w:top w:val="single" w:color="auto" w:sz="4" w:space="0"/>
              <w:left w:val="nil"/>
              <w:bottom w:val="single" w:color="auto" w:sz="4" w:space="0"/>
              <w:right w:val="single" w:color="auto" w:sz="4" w:space="0"/>
            </w:tcBorders>
            <w:noWrap w:val="0"/>
            <w:vAlign w:val="center"/>
          </w:tcPr>
          <w:p w14:paraId="3411EA6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27" w:type="pct"/>
            <w:tcBorders>
              <w:top w:val="single" w:color="auto" w:sz="4" w:space="0"/>
              <w:left w:val="nil"/>
              <w:bottom w:val="single" w:color="auto" w:sz="4" w:space="0"/>
              <w:right w:val="single" w:color="auto" w:sz="4" w:space="0"/>
            </w:tcBorders>
            <w:noWrap w:val="0"/>
            <w:vAlign w:val="center"/>
          </w:tcPr>
          <w:p w14:paraId="4A8DFE4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03" w:type="pct"/>
            <w:tcBorders>
              <w:top w:val="single" w:color="auto" w:sz="4" w:space="0"/>
              <w:left w:val="nil"/>
              <w:bottom w:val="single" w:color="auto" w:sz="4" w:space="0"/>
              <w:right w:val="single" w:color="auto" w:sz="4" w:space="0"/>
            </w:tcBorders>
            <w:noWrap w:val="0"/>
            <w:vAlign w:val="center"/>
          </w:tcPr>
          <w:p w14:paraId="6F3DB50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446" w:type="pct"/>
            <w:tcBorders>
              <w:top w:val="single" w:color="auto" w:sz="4" w:space="0"/>
              <w:left w:val="nil"/>
              <w:bottom w:val="single" w:color="auto" w:sz="4" w:space="0"/>
              <w:right w:val="single" w:color="auto" w:sz="4" w:space="0"/>
            </w:tcBorders>
            <w:noWrap w:val="0"/>
            <w:vAlign w:val="center"/>
          </w:tcPr>
          <w:p w14:paraId="5C26DB2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60" w:type="pct"/>
            <w:tcBorders>
              <w:top w:val="single" w:color="auto" w:sz="4" w:space="0"/>
              <w:left w:val="nil"/>
              <w:bottom w:val="single" w:color="auto" w:sz="4" w:space="0"/>
              <w:right w:val="single" w:color="auto" w:sz="4" w:space="0"/>
            </w:tcBorders>
            <w:noWrap w:val="0"/>
            <w:vAlign w:val="center"/>
          </w:tcPr>
          <w:p w14:paraId="706B379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03" w:type="pct"/>
            <w:tcBorders>
              <w:top w:val="single" w:color="auto" w:sz="4" w:space="0"/>
              <w:left w:val="nil"/>
              <w:bottom w:val="single" w:color="auto" w:sz="4" w:space="0"/>
              <w:right w:val="single" w:color="auto" w:sz="4" w:space="0"/>
            </w:tcBorders>
            <w:noWrap w:val="0"/>
            <w:vAlign w:val="center"/>
          </w:tcPr>
          <w:p w14:paraId="7A3043D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61" w:type="pct"/>
            <w:tcBorders>
              <w:top w:val="single" w:color="auto" w:sz="4" w:space="0"/>
              <w:left w:val="nil"/>
              <w:bottom w:val="single" w:color="auto" w:sz="4" w:space="0"/>
              <w:right w:val="single" w:color="auto" w:sz="4" w:space="0"/>
            </w:tcBorders>
            <w:noWrap w:val="0"/>
            <w:vAlign w:val="center"/>
          </w:tcPr>
          <w:p w14:paraId="62B711D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5E3D9FE3">
        <w:tblPrEx>
          <w:tblCellMar>
            <w:top w:w="0" w:type="dxa"/>
            <w:left w:w="108" w:type="dxa"/>
            <w:bottom w:w="0" w:type="dxa"/>
            <w:right w:w="108" w:type="dxa"/>
          </w:tblCellMar>
        </w:tblPrEx>
        <w:trPr>
          <w:trHeight w:val="422" w:hRule="atLeast"/>
        </w:trPr>
        <w:tc>
          <w:tcPr>
            <w:tcW w:w="966" w:type="pct"/>
            <w:tcBorders>
              <w:top w:val="single" w:color="auto" w:sz="4" w:space="0"/>
              <w:left w:val="single" w:color="auto" w:sz="4" w:space="0"/>
              <w:bottom w:val="single" w:color="auto" w:sz="4" w:space="0"/>
              <w:right w:val="single" w:color="auto" w:sz="4" w:space="0"/>
            </w:tcBorders>
            <w:noWrap w:val="0"/>
            <w:vAlign w:val="center"/>
          </w:tcPr>
          <w:p w14:paraId="091BBF7F">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监理</w:t>
            </w:r>
          </w:p>
        </w:tc>
        <w:tc>
          <w:tcPr>
            <w:tcW w:w="553" w:type="pct"/>
            <w:tcBorders>
              <w:top w:val="single" w:color="auto" w:sz="4" w:space="0"/>
              <w:left w:val="nil"/>
              <w:bottom w:val="single" w:color="auto" w:sz="4" w:space="0"/>
              <w:right w:val="single" w:color="auto" w:sz="4" w:space="0"/>
            </w:tcBorders>
            <w:noWrap w:val="0"/>
            <w:vAlign w:val="center"/>
          </w:tcPr>
          <w:p w14:paraId="30E7ECCB">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11.</w:t>
            </w:r>
            <w:r>
              <w:rPr>
                <w:rFonts w:hint="eastAsia" w:ascii="仿宋_GB2312" w:hAnsi="仿宋_GB2312" w:eastAsia="仿宋_GB2312" w:cs="仿宋_GB2312"/>
                <w:sz w:val="24"/>
                <w:lang w:val="en-US" w:eastAsia="zh-CN"/>
              </w:rPr>
              <w:t>83</w:t>
            </w:r>
          </w:p>
        </w:tc>
        <w:tc>
          <w:tcPr>
            <w:tcW w:w="481" w:type="pct"/>
            <w:tcBorders>
              <w:top w:val="single" w:color="auto" w:sz="4" w:space="0"/>
              <w:left w:val="nil"/>
              <w:bottom w:val="single" w:color="auto" w:sz="4" w:space="0"/>
              <w:right w:val="single" w:color="auto" w:sz="4" w:space="0"/>
            </w:tcBorders>
            <w:noWrap w:val="0"/>
            <w:vAlign w:val="center"/>
          </w:tcPr>
          <w:p w14:paraId="1331AB9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27" w:type="pct"/>
            <w:tcBorders>
              <w:top w:val="single" w:color="auto" w:sz="4" w:space="0"/>
              <w:left w:val="nil"/>
              <w:bottom w:val="single" w:color="auto" w:sz="4" w:space="0"/>
              <w:right w:val="single" w:color="auto" w:sz="4" w:space="0"/>
            </w:tcBorders>
            <w:noWrap w:val="0"/>
            <w:vAlign w:val="center"/>
          </w:tcPr>
          <w:p w14:paraId="002524B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03" w:type="pct"/>
            <w:tcBorders>
              <w:top w:val="single" w:color="auto" w:sz="4" w:space="0"/>
              <w:left w:val="nil"/>
              <w:bottom w:val="single" w:color="auto" w:sz="4" w:space="0"/>
              <w:right w:val="single" w:color="auto" w:sz="4" w:space="0"/>
            </w:tcBorders>
            <w:noWrap w:val="0"/>
            <w:vAlign w:val="center"/>
          </w:tcPr>
          <w:p w14:paraId="3FB435F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446" w:type="pct"/>
            <w:tcBorders>
              <w:top w:val="single" w:color="auto" w:sz="4" w:space="0"/>
              <w:left w:val="nil"/>
              <w:bottom w:val="single" w:color="auto" w:sz="4" w:space="0"/>
              <w:right w:val="single" w:color="auto" w:sz="4" w:space="0"/>
            </w:tcBorders>
            <w:noWrap w:val="0"/>
            <w:vAlign w:val="center"/>
          </w:tcPr>
          <w:p w14:paraId="041727A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60" w:type="pct"/>
            <w:tcBorders>
              <w:top w:val="single" w:color="auto" w:sz="4" w:space="0"/>
              <w:left w:val="nil"/>
              <w:bottom w:val="single" w:color="auto" w:sz="4" w:space="0"/>
              <w:right w:val="single" w:color="auto" w:sz="4" w:space="0"/>
            </w:tcBorders>
            <w:noWrap w:val="0"/>
            <w:vAlign w:val="center"/>
          </w:tcPr>
          <w:p w14:paraId="56576E1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03" w:type="pct"/>
            <w:tcBorders>
              <w:top w:val="single" w:color="auto" w:sz="4" w:space="0"/>
              <w:left w:val="nil"/>
              <w:bottom w:val="single" w:color="auto" w:sz="4" w:space="0"/>
              <w:right w:val="single" w:color="auto" w:sz="4" w:space="0"/>
            </w:tcBorders>
            <w:noWrap w:val="0"/>
            <w:vAlign w:val="center"/>
          </w:tcPr>
          <w:p w14:paraId="56EA8CF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561" w:type="pct"/>
            <w:tcBorders>
              <w:top w:val="single" w:color="auto" w:sz="4" w:space="0"/>
              <w:left w:val="nil"/>
              <w:bottom w:val="single" w:color="auto" w:sz="4" w:space="0"/>
              <w:right w:val="single" w:color="auto" w:sz="4" w:space="0"/>
            </w:tcBorders>
            <w:noWrap w:val="0"/>
            <w:vAlign w:val="center"/>
          </w:tcPr>
          <w:p w14:paraId="7498159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63C0E84F">
        <w:tblPrEx>
          <w:tblCellMar>
            <w:top w:w="0" w:type="dxa"/>
            <w:left w:w="108" w:type="dxa"/>
            <w:bottom w:w="0" w:type="dxa"/>
            <w:right w:w="108" w:type="dxa"/>
          </w:tblCellMar>
        </w:tblPrEx>
        <w:trPr>
          <w:trHeight w:val="365" w:hRule="atLeast"/>
        </w:trPr>
        <w:tc>
          <w:tcPr>
            <w:tcW w:w="1999" w:type="pct"/>
            <w:gridSpan w:val="3"/>
            <w:tcBorders>
              <w:top w:val="single" w:color="auto" w:sz="4" w:space="0"/>
              <w:left w:val="single" w:color="auto" w:sz="4" w:space="0"/>
              <w:bottom w:val="single" w:color="auto" w:sz="4" w:space="0"/>
              <w:right w:val="single" w:color="auto" w:sz="4" w:space="0"/>
            </w:tcBorders>
            <w:noWrap w:val="0"/>
            <w:vAlign w:val="center"/>
          </w:tcPr>
          <w:p w14:paraId="7854EB48">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3001" w:type="pct"/>
            <w:gridSpan w:val="6"/>
            <w:tcBorders>
              <w:top w:val="single" w:color="auto" w:sz="4" w:space="0"/>
              <w:left w:val="nil"/>
              <w:bottom w:val="single" w:color="auto" w:sz="4" w:space="0"/>
              <w:right w:val="single" w:color="auto" w:sz="4" w:space="0"/>
            </w:tcBorders>
            <w:noWrap w:val="0"/>
            <w:vAlign w:val="center"/>
          </w:tcPr>
          <w:p w14:paraId="55E81569">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0181BC1F">
        <w:tblPrEx>
          <w:tblCellMar>
            <w:top w:w="0" w:type="dxa"/>
            <w:left w:w="108" w:type="dxa"/>
            <w:bottom w:w="0" w:type="dxa"/>
            <w:right w:w="108" w:type="dxa"/>
          </w:tblCellMar>
        </w:tblPrEx>
        <w:trPr>
          <w:trHeight w:val="548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E92D7A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4E9D003B">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pacing w:val="-2"/>
                <w:sz w:val="24"/>
              </w:rPr>
              <w:t>该项目勘察</w:t>
            </w:r>
            <w:r>
              <w:rPr>
                <w:rFonts w:hint="eastAsia" w:ascii="仿宋_GB2312" w:hAnsi="仿宋_GB2312" w:eastAsia="仿宋_GB2312" w:cs="仿宋_GB2312"/>
                <w:sz w:val="24"/>
              </w:rPr>
              <w:t>设计、监理等未达到强制招标的规模标准，核定不采用招标组织方式，建安工程费用虽超过强制招标的规模标准，根据《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w:t>
            </w:r>
            <w:r>
              <w:rPr>
                <w:rFonts w:hint="eastAsia" w:ascii="仿宋_GB2312" w:hAnsi="仿宋_GB2312" w:eastAsia="仿宋_GB2312" w:cs="仿宋_GB2312"/>
                <w:sz w:val="24"/>
                <w:lang w:eastAsia="zh-CN"/>
              </w:rPr>
              <w:t>竞争性磋商</w:t>
            </w:r>
            <w:r>
              <w:rPr>
                <w:rFonts w:hint="eastAsia" w:ascii="仿宋_GB2312" w:hAnsi="仿宋_GB2312" w:eastAsia="仿宋_GB2312" w:cs="仿宋_GB2312"/>
                <w:sz w:val="24"/>
              </w:rPr>
              <w:t>方式组织实施。</w:t>
            </w:r>
          </w:p>
          <w:p w14:paraId="0D3F446C">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7AB6940C">
            <w:pPr>
              <w:rPr>
                <w:rFonts w:hint="eastAsia" w:ascii="仿宋_GB2312" w:hAnsi="仿宋_GB2312" w:eastAsia="仿宋_GB2312" w:cs="仿宋_GB2312"/>
                <w:sz w:val="24"/>
              </w:rPr>
            </w:pPr>
          </w:p>
          <w:p w14:paraId="14F7F574">
            <w:pPr>
              <w:rPr>
                <w:rFonts w:hint="eastAsia" w:ascii="仿宋_GB2312" w:hAnsi="仿宋_GB2312" w:eastAsia="仿宋_GB2312" w:cs="仿宋_GB2312"/>
                <w:sz w:val="24"/>
              </w:rPr>
            </w:pPr>
          </w:p>
          <w:p w14:paraId="70657395">
            <w:pPr>
              <w:rPr>
                <w:rFonts w:hint="eastAsia" w:ascii="仿宋_GB2312" w:hAnsi="仿宋_GB2312" w:eastAsia="仿宋_GB2312" w:cs="仿宋_GB2312"/>
                <w:sz w:val="24"/>
              </w:rPr>
            </w:pPr>
          </w:p>
          <w:p w14:paraId="113B8834">
            <w:pPr>
              <w:rPr>
                <w:rFonts w:hint="eastAsia" w:ascii="仿宋_GB2312" w:hAnsi="仿宋_GB2312" w:eastAsia="仿宋_GB2312" w:cs="仿宋_GB2312"/>
                <w:sz w:val="24"/>
              </w:rPr>
            </w:pPr>
          </w:p>
          <w:p w14:paraId="641E8120">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4F671AB8">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ascii="仿宋_GB2312" w:hAnsi="仿宋_GB2312" w:eastAsia="仿宋_GB2312" w:cs="仿宋_GB2312"/>
                <w:sz w:val="24"/>
              </w:rPr>
              <w:t>5</w:t>
            </w:r>
            <w:r>
              <w:rPr>
                <w:rFonts w:hint="eastAsia" w:ascii="仿宋_GB2312" w:hAnsi="仿宋_GB2312" w:eastAsia="仿宋_GB2312" w:cs="仿宋_GB2312"/>
                <w:sz w:val="24"/>
              </w:rPr>
              <w:t>年</w:t>
            </w:r>
            <w:r>
              <w:rPr>
                <w:rFonts w:ascii="仿宋_GB2312" w:hAnsi="仿宋_GB2312" w:eastAsia="仿宋_GB2312" w:cs="仿宋_GB2312"/>
                <w:sz w:val="24"/>
              </w:rPr>
              <w:t>9</w:t>
            </w:r>
            <w:r>
              <w:rPr>
                <w:rFonts w:hint="eastAsia" w:ascii="仿宋_GB2312" w:hAnsi="仿宋_GB2312" w:eastAsia="仿宋_GB2312" w:cs="仿宋_GB2312"/>
                <w:sz w:val="24"/>
              </w:rPr>
              <w:t>月1</w:t>
            </w:r>
            <w:r>
              <w:rPr>
                <w:rFonts w:ascii="仿宋_GB2312" w:hAnsi="仿宋_GB2312" w:eastAsia="仿宋_GB2312" w:cs="仿宋_GB2312"/>
                <w:sz w:val="24"/>
              </w:rPr>
              <w:t>6</w:t>
            </w:r>
            <w:r>
              <w:rPr>
                <w:rFonts w:hint="eastAsia" w:ascii="仿宋_GB2312" w:hAnsi="仿宋_GB2312" w:eastAsia="仿宋_GB2312" w:cs="仿宋_GB2312"/>
                <w:sz w:val="24"/>
              </w:rPr>
              <w:t>日</w:t>
            </w:r>
          </w:p>
          <w:p w14:paraId="7B1CC4C5">
            <w:pPr>
              <w:ind w:firstLine="5040" w:firstLineChars="2100"/>
              <w:rPr>
                <w:rFonts w:hint="eastAsia" w:ascii="仿宋_GB2312" w:hAnsi="仿宋_GB2312" w:eastAsia="仿宋_GB2312" w:cs="仿宋_GB2312"/>
                <w:sz w:val="24"/>
              </w:rPr>
            </w:pPr>
          </w:p>
          <w:p w14:paraId="43DE00D4">
            <w:pPr>
              <w:rPr>
                <w:rFonts w:hint="eastAsia" w:ascii="仿宋_GB2312" w:hAnsi="仿宋_GB2312" w:eastAsia="仿宋_GB2312" w:cs="仿宋_GB2312"/>
                <w:sz w:val="24"/>
              </w:rPr>
            </w:pPr>
          </w:p>
        </w:tc>
      </w:tr>
    </w:tbl>
    <w:p w14:paraId="69F64596">
      <w:pPr>
        <w:spacing w:line="500" w:lineRule="exact"/>
        <w:ind w:firstLine="240" w:firstLineChars="100"/>
        <w:rPr>
          <w:rFonts w:hint="eastAsia" w:ascii="仿宋_GB2312" w:eastAsia="仿宋_GB2312"/>
          <w:sz w:val="24"/>
        </w:rPr>
      </w:pPr>
      <w:r>
        <w:rPr>
          <w:rFonts w:hint="eastAsia" w:ascii="仿宋_GB2312" w:eastAsia="仿宋_GB2312"/>
          <w:sz w:val="24"/>
        </w:rPr>
        <w:t>说明：1.审核部门在表中空格内注明“核准”或者“不予核准”；</w:t>
      </w:r>
    </w:p>
    <w:p w14:paraId="6A131147">
      <w:r>
        <w:rPr>
          <w:rFonts w:hint="eastAsia" w:ascii="仿宋_GB2312" w:eastAsia="仿宋_GB2312"/>
          <w:sz w:val="24"/>
        </w:rPr>
        <w:t>2.陵川县建设项目招标核准意见表由陵川县发展改革和科技局负责监制。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82D10"/>
    <w:rsid w:val="2008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842e1429-e077-4174-b838-85471edce493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4E9D003B</paraID>
      <start>0</start>
      <end>2</end>
      <status>modified</status>
      <modifiedWord>1.</modifiedWord>
      <trackRevisions>false</trackRevisions>
    </reviewItem>
    <reviewItem>
      <errorID>d8df17ab-b66f-41ae-bfb8-348417241610</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4E9D003B</paraID>
      <start>60</start>
      <end>72</end>
      <status>modified</status>
      <modifiedWord>中华人民共和国招标投标法</modifiedWord>
      <trackRevisions>false</trackRevisions>
    </reviewItem>
    <reviewItem>
      <errorID>6753cdeb-f831-4a1a-a028-47ed45ab104e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D3F446C</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333c094d-898d-42fd-a03d-8c1c37fde57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2026-06-22T07:21:00Z</dcterms:created>
  <dc:creator>摄鬼波波</dc:creator>
  <cp:lastModifiedBy>摄鬼波波</cp:lastModifiedBy>
  <dcterms:modified xsi:type="dcterms:W3CDTF">2026-06-22T07:22:54Z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39970F03E7A44205A3A9855EBF7B6184_11</vt:lpwstr>
  </property>
  <property fmtid="{D5CDD505-2E9C-101B-9397-08002B2CF9AE}" pid="4" name="KSOTemplateDocerSaveRecord">
    <vt:lpwstr>eyJoZGlkIjoiMGZlNzU1NDAyMWExZTFjNjQxOThkMGQ0YmQ2OTMwZGMiLCJ1c2VySWQiOiIyMTIwOTUyIn0=</vt:lpwstr>
  </property>
</Properties>
</file>