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898A8">
      <w:pPr>
        <w:widowControl/>
        <w:spacing w:line="240" w:lineRule="auto"/>
        <w:jc w:val="center"/>
        <w:textAlignment w:val="center"/>
        <w:rPr>
          <w:rFonts w:hint="eastAsia" w:ascii="仿宋_GB2312" w:eastAsia="仿宋_GB2312"/>
          <w:sz w:val="28"/>
          <w:szCs w:val="28"/>
          <w:highlight w:val="none"/>
        </w:rPr>
      </w:pPr>
      <w:r>
        <w:rPr>
          <w:rFonts w:hint="eastAsia" w:ascii="宋体" w:hAnsi="宋体"/>
          <w:b/>
          <w:bCs/>
          <w:sz w:val="36"/>
          <w:szCs w:val="36"/>
          <w:lang w:eastAsia="zh-CN"/>
        </w:rPr>
        <w:t>山西省</w:t>
      </w:r>
      <w:r>
        <w:rPr>
          <w:rFonts w:hint="eastAsia" w:ascii="宋体" w:hAnsi="宋体"/>
          <w:b/>
          <w:bCs/>
          <w:sz w:val="36"/>
          <w:szCs w:val="36"/>
        </w:rPr>
        <w:t>建设项目招标方案和不招标核准表</w:t>
      </w:r>
    </w:p>
    <w:p w14:paraId="4ACD6DA4">
      <w:pPr>
        <w:widowControl/>
        <w:ind w:firstLine="0" w:firstLineChars="0"/>
        <w:jc w:val="center"/>
        <w:textAlignment w:val="center"/>
        <w:rPr>
          <w:rFonts w:hint="default" w:ascii="宋体" w:hAnsi="宋体" w:eastAsia="宋体"/>
          <w:highlight w:val="none"/>
          <w:lang w:val="en-US" w:eastAsia="zh-CN"/>
        </w:rPr>
      </w:pPr>
      <w:r>
        <w:rPr>
          <w:rFonts w:hint="eastAsia" w:ascii="宋体" w:hAnsi="宋体"/>
          <w:highlight w:val="none"/>
          <w:lang w:val="en-US" w:eastAsia="zh-CN"/>
        </w:rPr>
        <w:t xml:space="preserve">                                                      </w:t>
      </w:r>
      <w:r>
        <w:rPr>
          <w:rFonts w:hint="eastAsia" w:ascii="宋体" w:hAnsi="宋体"/>
          <w:highlight w:val="none"/>
        </w:rPr>
        <w:t>核准号：2025—</w:t>
      </w:r>
      <w:r>
        <w:rPr>
          <w:rFonts w:hint="eastAsia" w:ascii="宋体" w:hAnsi="宋体"/>
          <w:highlight w:val="none"/>
          <w:lang w:val="en-US" w:eastAsia="zh-CN"/>
        </w:rPr>
        <w:t xml:space="preserve">226 </w:t>
      </w:r>
    </w:p>
    <w:tbl>
      <w:tblPr>
        <w:tblStyle w:val="4"/>
        <w:tblW w:w="0" w:type="auto"/>
        <w:tblInd w:w="116" w:type="dxa"/>
        <w:tblLayout w:type="fixed"/>
        <w:tblCellMar>
          <w:top w:w="0" w:type="dxa"/>
          <w:left w:w="108" w:type="dxa"/>
          <w:bottom w:w="0" w:type="dxa"/>
          <w:right w:w="108" w:type="dxa"/>
        </w:tblCellMar>
      </w:tblPr>
      <w:tblGrid>
        <w:gridCol w:w="1338"/>
        <w:gridCol w:w="1220"/>
        <w:gridCol w:w="807"/>
        <w:gridCol w:w="727"/>
        <w:gridCol w:w="15"/>
        <w:gridCol w:w="824"/>
        <w:gridCol w:w="749"/>
        <w:gridCol w:w="943"/>
        <w:gridCol w:w="846"/>
        <w:gridCol w:w="943"/>
      </w:tblGrid>
      <w:tr w14:paraId="78517C62">
        <w:tblPrEx>
          <w:tblCellMar>
            <w:top w:w="0" w:type="dxa"/>
            <w:left w:w="108" w:type="dxa"/>
            <w:bottom w:w="0" w:type="dxa"/>
            <w:right w:w="108" w:type="dxa"/>
          </w:tblCellMar>
        </w:tblPrEx>
        <w:trPr>
          <w:trHeight w:val="847"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4BFF7317">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769" w:type="dxa"/>
            <w:gridSpan w:val="4"/>
            <w:tcBorders>
              <w:top w:val="single" w:color="auto" w:sz="4" w:space="0"/>
              <w:left w:val="nil"/>
              <w:bottom w:val="single" w:color="auto" w:sz="4" w:space="0"/>
              <w:right w:val="single" w:color="auto" w:sz="4" w:space="0"/>
            </w:tcBorders>
            <w:noWrap w:val="0"/>
            <w:vAlign w:val="center"/>
          </w:tcPr>
          <w:p w14:paraId="202A47A1">
            <w:pPr>
              <w:widowControl/>
              <w:spacing w:line="240" w:lineRule="auto"/>
              <w:jc w:val="center"/>
              <w:textAlignment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 xml:space="preserve">陵川县杨村镇池下村2026年特色旅居村以工代赈项目 </w:t>
            </w:r>
          </w:p>
        </w:tc>
        <w:tc>
          <w:tcPr>
            <w:tcW w:w="1573" w:type="dxa"/>
            <w:gridSpan w:val="2"/>
            <w:tcBorders>
              <w:top w:val="single" w:color="auto" w:sz="4" w:space="0"/>
              <w:left w:val="nil"/>
              <w:bottom w:val="single" w:color="auto" w:sz="4" w:space="0"/>
              <w:right w:val="single" w:color="auto" w:sz="4" w:space="0"/>
            </w:tcBorders>
            <w:noWrap w:val="0"/>
            <w:vAlign w:val="center"/>
          </w:tcPr>
          <w:p w14:paraId="4E3B5E1C">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30E40F00">
            <w:pPr>
              <w:widowControl/>
              <w:spacing w:line="240" w:lineRule="auto"/>
              <w:jc w:val="center"/>
              <w:textAlignment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杨村镇人民政府</w:t>
            </w:r>
          </w:p>
        </w:tc>
      </w:tr>
      <w:tr w14:paraId="374E3497">
        <w:tblPrEx>
          <w:tblCellMar>
            <w:top w:w="0" w:type="dxa"/>
            <w:left w:w="108" w:type="dxa"/>
            <w:bottom w:w="0" w:type="dxa"/>
            <w:right w:w="108" w:type="dxa"/>
          </w:tblCellMar>
        </w:tblPrEx>
        <w:trPr>
          <w:trHeight w:val="1348" w:hRule="atLeast"/>
        </w:trPr>
        <w:tc>
          <w:tcPr>
            <w:tcW w:w="1338" w:type="dxa"/>
            <w:vMerge w:val="restart"/>
            <w:tcBorders>
              <w:top w:val="nil"/>
              <w:left w:val="single" w:color="auto" w:sz="4" w:space="0"/>
              <w:bottom w:val="single" w:color="auto" w:sz="4" w:space="0"/>
              <w:right w:val="single" w:color="auto" w:sz="4" w:space="0"/>
            </w:tcBorders>
            <w:noWrap w:val="0"/>
            <w:vAlign w:val="center"/>
          </w:tcPr>
          <w:p w14:paraId="36BC371D">
            <w:pPr>
              <w:widowControl/>
              <w:jc w:val="center"/>
              <w:textAlignment w:val="center"/>
              <w:rPr>
                <w:rFonts w:hint="eastAsia" w:ascii="仿宋_GB2312" w:hAnsi="仿宋_GB2312" w:eastAsia="仿宋_GB2312" w:cs="仿宋_GB2312"/>
                <w:sz w:val="24"/>
              </w:rPr>
            </w:pPr>
          </w:p>
        </w:tc>
        <w:tc>
          <w:tcPr>
            <w:tcW w:w="1220" w:type="dxa"/>
            <w:vMerge w:val="restart"/>
            <w:tcBorders>
              <w:top w:val="nil"/>
              <w:left w:val="nil"/>
              <w:bottom w:val="single" w:color="auto" w:sz="4" w:space="0"/>
              <w:right w:val="single" w:color="auto" w:sz="4" w:space="0"/>
            </w:tcBorders>
            <w:noWrap w:val="0"/>
            <w:vAlign w:val="center"/>
          </w:tcPr>
          <w:p w14:paraId="0653A44C">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w:t>
            </w:r>
          </w:p>
          <w:p w14:paraId="40A58D48">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549" w:type="dxa"/>
            <w:gridSpan w:val="3"/>
            <w:tcBorders>
              <w:top w:val="single" w:color="auto" w:sz="4" w:space="0"/>
              <w:left w:val="nil"/>
              <w:bottom w:val="single" w:color="auto" w:sz="4" w:space="0"/>
              <w:right w:val="single" w:color="auto" w:sz="4" w:space="0"/>
            </w:tcBorders>
            <w:noWrap w:val="0"/>
            <w:vAlign w:val="center"/>
          </w:tcPr>
          <w:p w14:paraId="4DE97ED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19EDB42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747C6FA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6D0F264D">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09F6311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58366056">
        <w:tblPrEx>
          <w:tblCellMar>
            <w:top w:w="0" w:type="dxa"/>
            <w:left w:w="108" w:type="dxa"/>
            <w:bottom w:w="0" w:type="dxa"/>
            <w:right w:w="108" w:type="dxa"/>
          </w:tblCellMar>
        </w:tblPrEx>
        <w:trPr>
          <w:trHeight w:val="1246" w:hRule="atLeast"/>
        </w:trPr>
        <w:tc>
          <w:tcPr>
            <w:tcW w:w="1338" w:type="dxa"/>
            <w:vMerge w:val="continue"/>
            <w:tcBorders>
              <w:top w:val="nil"/>
              <w:left w:val="single" w:color="auto" w:sz="4" w:space="0"/>
              <w:bottom w:val="single" w:color="auto" w:sz="4" w:space="0"/>
              <w:right w:val="single" w:color="auto" w:sz="4" w:space="0"/>
            </w:tcBorders>
            <w:noWrap w:val="0"/>
            <w:vAlign w:val="center"/>
          </w:tcPr>
          <w:p w14:paraId="61A7EE22">
            <w:pPr>
              <w:widowControl/>
              <w:jc w:val="center"/>
              <w:textAlignment w:val="center"/>
              <w:rPr>
                <w:rFonts w:hint="eastAsia" w:ascii="仿宋_GB2312" w:hAnsi="仿宋_GB2312" w:eastAsia="仿宋_GB2312" w:cs="仿宋_GB2312"/>
                <w:sz w:val="24"/>
              </w:rPr>
            </w:pPr>
          </w:p>
        </w:tc>
        <w:tc>
          <w:tcPr>
            <w:tcW w:w="1220" w:type="dxa"/>
            <w:vMerge w:val="continue"/>
            <w:tcBorders>
              <w:top w:val="nil"/>
              <w:left w:val="nil"/>
              <w:bottom w:val="single" w:color="auto" w:sz="4" w:space="0"/>
              <w:right w:val="single" w:color="auto" w:sz="4" w:space="0"/>
            </w:tcBorders>
            <w:noWrap w:val="0"/>
            <w:vAlign w:val="center"/>
          </w:tcPr>
          <w:p w14:paraId="4208E039">
            <w:pPr>
              <w:widowControl/>
              <w:jc w:val="center"/>
              <w:textAlignment w:val="center"/>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6229B2DF">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09AAB708">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4B617BB1">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40230B8F">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43C01720">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2700A6C9">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7320B50B">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105AEA50">
            <w:pPr>
              <w:widowControl/>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2718E33B">
            <w:pPr>
              <w:widowControl/>
              <w:jc w:val="center"/>
              <w:textAlignment w:val="center"/>
              <w:rPr>
                <w:rFonts w:hint="eastAsia" w:ascii="仿宋_GB2312" w:hAnsi="仿宋_GB2312" w:eastAsia="仿宋_GB2312" w:cs="仿宋_GB2312"/>
                <w:szCs w:val="21"/>
              </w:rPr>
            </w:pPr>
          </w:p>
        </w:tc>
      </w:tr>
      <w:tr w14:paraId="20F17E50">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12FBC8F7">
            <w:pPr>
              <w:widowControl/>
              <w:spacing w:line="240" w:lineRule="auto"/>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1220" w:type="dxa"/>
            <w:tcBorders>
              <w:top w:val="single" w:color="auto" w:sz="4" w:space="0"/>
              <w:left w:val="nil"/>
              <w:bottom w:val="single" w:color="auto" w:sz="4" w:space="0"/>
              <w:right w:val="single" w:color="auto" w:sz="4" w:space="0"/>
            </w:tcBorders>
            <w:noWrap w:val="0"/>
            <w:vAlign w:val="center"/>
          </w:tcPr>
          <w:p w14:paraId="3AC1C99E">
            <w:pPr>
              <w:widowControl/>
              <w:adjustRightInd/>
              <w:snapToGrid/>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18.49</w:t>
            </w:r>
          </w:p>
        </w:tc>
        <w:tc>
          <w:tcPr>
            <w:tcW w:w="807" w:type="dxa"/>
            <w:tcBorders>
              <w:top w:val="single" w:color="auto" w:sz="4" w:space="0"/>
              <w:left w:val="nil"/>
              <w:bottom w:val="single" w:color="auto" w:sz="4" w:space="0"/>
              <w:right w:val="single" w:color="auto" w:sz="4" w:space="0"/>
            </w:tcBorders>
            <w:noWrap w:val="0"/>
            <w:vAlign w:val="center"/>
          </w:tcPr>
          <w:p w14:paraId="0A3A577F">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101A6191">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09266BC6">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34BB5E13">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54370CD">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66840437">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D81A184">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1941C655">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4742AFDD">
            <w:pPr>
              <w:widowControl/>
              <w:spacing w:line="240" w:lineRule="auto"/>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1220" w:type="dxa"/>
            <w:tcBorders>
              <w:top w:val="single" w:color="auto" w:sz="4" w:space="0"/>
              <w:left w:val="nil"/>
              <w:bottom w:val="single" w:color="auto" w:sz="4" w:space="0"/>
              <w:right w:val="single" w:color="auto" w:sz="4" w:space="0"/>
            </w:tcBorders>
            <w:noWrap w:val="0"/>
            <w:vAlign w:val="center"/>
          </w:tcPr>
          <w:p w14:paraId="209F64B6">
            <w:pPr>
              <w:widowControl/>
              <w:adjustRightInd/>
              <w:snapToGrid/>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786.55</w:t>
            </w:r>
          </w:p>
        </w:tc>
        <w:tc>
          <w:tcPr>
            <w:tcW w:w="807" w:type="dxa"/>
            <w:tcBorders>
              <w:top w:val="single" w:color="auto" w:sz="4" w:space="0"/>
              <w:left w:val="nil"/>
              <w:bottom w:val="single" w:color="auto" w:sz="4" w:space="0"/>
              <w:right w:val="single" w:color="auto" w:sz="4" w:space="0"/>
            </w:tcBorders>
            <w:noWrap w:val="0"/>
            <w:vAlign w:val="center"/>
          </w:tcPr>
          <w:p w14:paraId="594648A2">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31AB96B">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7F0E5AF7">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8B9C350">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BBEB3F0">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C4CFB97">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A3CB85E">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7F4C4551">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339D3A9F">
            <w:pPr>
              <w:widowControl/>
              <w:spacing w:line="240" w:lineRule="auto"/>
              <w:jc w:val="center"/>
              <w:textAlignment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1220" w:type="dxa"/>
            <w:tcBorders>
              <w:top w:val="single" w:color="auto" w:sz="4" w:space="0"/>
              <w:left w:val="nil"/>
              <w:bottom w:val="single" w:color="auto" w:sz="4" w:space="0"/>
              <w:right w:val="single" w:color="auto" w:sz="4" w:space="0"/>
            </w:tcBorders>
            <w:noWrap w:val="0"/>
            <w:vAlign w:val="center"/>
          </w:tcPr>
          <w:p w14:paraId="6C93C0B0">
            <w:pPr>
              <w:widowControl/>
              <w:adjustRightInd/>
              <w:snapToGrid/>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12.06</w:t>
            </w:r>
          </w:p>
        </w:tc>
        <w:tc>
          <w:tcPr>
            <w:tcW w:w="807" w:type="dxa"/>
            <w:tcBorders>
              <w:top w:val="single" w:color="auto" w:sz="4" w:space="0"/>
              <w:left w:val="nil"/>
              <w:bottom w:val="single" w:color="auto" w:sz="4" w:space="0"/>
              <w:right w:val="single" w:color="auto" w:sz="4" w:space="0"/>
            </w:tcBorders>
            <w:noWrap w:val="0"/>
            <w:vAlign w:val="center"/>
          </w:tcPr>
          <w:p w14:paraId="49037E6B">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27A11926">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1D73C406">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70B42DF3">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33AD9CE">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1798ED58">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471F0D4">
            <w:pPr>
              <w:widowControl/>
              <w:adjustRightInd/>
              <w:snapToGrid/>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FE71531">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452853E4">
            <w:pPr>
              <w:widowControl/>
              <w:snapToGrid/>
              <w:spacing w:line="240" w:lineRule="auto"/>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634ABD37">
            <w:pPr>
              <w:widowControl/>
              <w:snapToGrid/>
              <w:spacing w:line="240" w:lineRule="auto"/>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102ECF85">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57D040EC">
            <w:pPr>
              <w:widowControl/>
              <w:spacing w:line="240" w:lineRule="auto"/>
              <w:ind w:firstLine="480" w:firstLineChars="2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588A910A">
            <w:pPr>
              <w:widowControl/>
              <w:spacing w:line="240" w:lineRule="auto"/>
              <w:ind w:firstLine="480" w:firstLineChars="200"/>
              <w:jc w:val="left"/>
              <w:textAlignment w:val="center"/>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1.</w:t>
            </w:r>
            <w:bookmarkEnd w:id="0"/>
            <w:r>
              <w:rPr>
                <w:rFonts w:hint="eastAsia" w:ascii="仿宋_GB2312" w:hAnsi="仿宋_GB2312" w:eastAsia="仿宋_GB2312" w:cs="仿宋_GB2312"/>
                <w:spacing w:val="-2"/>
                <w:sz w:val="24"/>
              </w:rPr>
              <w:t>该项目勘察</w:t>
            </w:r>
            <w:r>
              <w:rPr>
                <w:rFonts w:hint="eastAsia" w:ascii="仿宋_GB2312" w:hAnsi="仿宋_GB2312" w:eastAsia="仿宋_GB2312" w:cs="仿宋_GB2312"/>
                <w:sz w:val="24"/>
              </w:rPr>
              <w:t>设计、监理等未达到强制招标的规模标准，核定不采用招标组织方式，建安工程费用虽超过强制招标的规模标准，根据《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val="en-US" w:eastAsia="zh-CN"/>
              </w:rPr>
              <w:t>竞争性磋商</w:t>
            </w:r>
            <w:r>
              <w:rPr>
                <w:rFonts w:hint="eastAsia" w:ascii="仿宋_GB2312" w:hAnsi="仿宋_GB2312" w:eastAsia="仿宋_GB2312" w:cs="仿宋_GB2312"/>
                <w:sz w:val="24"/>
              </w:rPr>
              <w:t>方式组织实施。</w:t>
            </w:r>
          </w:p>
          <w:p w14:paraId="5B7245C8">
            <w:pPr>
              <w:widowControl/>
              <w:spacing w:line="240" w:lineRule="auto"/>
              <w:ind w:firstLine="480" w:firstLineChars="2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5B34F219">
            <w:pPr>
              <w:widowControl/>
              <w:jc w:val="center"/>
              <w:textAlignment w:val="center"/>
              <w:rPr>
                <w:rFonts w:hint="eastAsia" w:ascii="仿宋_GB2312" w:hAnsi="仿宋_GB2312" w:eastAsia="仿宋_GB2312" w:cs="仿宋_GB2312"/>
                <w:sz w:val="24"/>
              </w:rPr>
            </w:pPr>
          </w:p>
          <w:p w14:paraId="14B5D3E5">
            <w:pPr>
              <w:widowControl/>
              <w:jc w:val="center"/>
              <w:textAlignment w:val="center"/>
              <w:rPr>
                <w:rFonts w:hint="eastAsia" w:ascii="仿宋_GB2312" w:hAnsi="仿宋_GB2312" w:eastAsia="仿宋_GB2312" w:cs="仿宋_GB2312"/>
                <w:sz w:val="24"/>
              </w:rPr>
            </w:pPr>
          </w:p>
          <w:p w14:paraId="3BCAC5AF">
            <w:pPr>
              <w:widowControl/>
              <w:jc w:val="center"/>
              <w:textAlignment w:val="center"/>
              <w:rPr>
                <w:rFonts w:hint="eastAsia" w:ascii="仿宋_GB2312" w:hAnsi="仿宋_GB2312" w:eastAsia="仿宋_GB2312" w:cs="仿宋_GB2312"/>
                <w:sz w:val="24"/>
              </w:rPr>
            </w:pPr>
          </w:p>
          <w:p w14:paraId="2FB02EB1">
            <w:pPr>
              <w:widowControl/>
              <w:jc w:val="center"/>
              <w:textAlignment w:val="center"/>
              <w:rPr>
                <w:rFonts w:hint="eastAsia" w:ascii="仿宋_GB2312" w:hAnsi="仿宋_GB2312" w:eastAsia="仿宋_GB2312" w:cs="仿宋_GB2312"/>
                <w:sz w:val="24"/>
              </w:rPr>
            </w:pPr>
          </w:p>
          <w:p w14:paraId="53AF6E80">
            <w:pPr>
              <w:widowControl/>
              <w:jc w:val="center"/>
              <w:textAlignment w:val="center"/>
              <w:rPr>
                <w:rFonts w:hint="eastAsia" w:ascii="仿宋_GB2312" w:hAnsi="仿宋_GB2312" w:eastAsia="仿宋_GB2312" w:cs="仿宋_GB2312"/>
                <w:sz w:val="24"/>
              </w:rPr>
            </w:pPr>
          </w:p>
          <w:p w14:paraId="5C86893B">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3FE4EAD4">
            <w:pPr>
              <w:ind w:firstLine="5040" w:firstLineChars="2100"/>
              <w:rPr>
                <w:highlight w:val="none"/>
              </w:rPr>
            </w:pPr>
            <w:r>
              <w:rPr>
                <w:rFonts w:hint="eastAsia" w:ascii="仿宋_GB2312" w:hAnsi="仿宋_GB2312" w:eastAsia="仿宋_GB2312" w:cs="仿宋_GB2312"/>
                <w:sz w:val="24"/>
                <w:highlight w:val="none"/>
              </w:rPr>
              <w:t>2025年</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16</w:t>
            </w:r>
            <w:r>
              <w:rPr>
                <w:rFonts w:hint="eastAsia" w:ascii="仿宋_GB2312" w:hAnsi="仿宋_GB2312" w:eastAsia="仿宋_GB2312" w:cs="仿宋_GB2312"/>
                <w:sz w:val="24"/>
                <w:highlight w:val="none"/>
              </w:rPr>
              <w:t>日</w:t>
            </w:r>
          </w:p>
          <w:p w14:paraId="28CC6C54"/>
          <w:p w14:paraId="2933C781">
            <w:pPr>
              <w:widowControl/>
              <w:ind w:firstLine="3600" w:firstLineChars="1500"/>
              <w:jc w:val="center"/>
              <w:textAlignment w:val="center"/>
              <w:rPr>
                <w:rFonts w:hint="eastAsia" w:ascii="仿宋_GB2312" w:hAnsi="仿宋_GB2312" w:eastAsia="仿宋_GB2312" w:cs="仿宋_GB2312"/>
                <w:sz w:val="24"/>
              </w:rPr>
            </w:pPr>
          </w:p>
          <w:p w14:paraId="0C4A90EC">
            <w:pPr>
              <w:widowControl/>
              <w:ind w:firstLine="0" w:firstLineChars="0"/>
              <w:jc w:val="center"/>
              <w:textAlignment w:val="center"/>
              <w:rPr>
                <w:rFonts w:hint="eastAsia" w:ascii="仿宋_GB2312" w:hAnsi="仿宋_GB2312" w:eastAsia="仿宋_GB2312" w:cs="仿宋_GB2312"/>
                <w:sz w:val="24"/>
              </w:rPr>
            </w:pPr>
          </w:p>
          <w:p w14:paraId="0DAA90DE">
            <w:pPr>
              <w:widowControl/>
              <w:jc w:val="center"/>
              <w:textAlignment w:val="center"/>
              <w:rPr>
                <w:rFonts w:hint="eastAsia" w:ascii="仿宋_GB2312" w:hAnsi="仿宋_GB2312" w:eastAsia="仿宋_GB2312" w:cs="仿宋_GB2312"/>
                <w:sz w:val="24"/>
              </w:rPr>
            </w:pPr>
          </w:p>
        </w:tc>
      </w:tr>
    </w:tbl>
    <w:p w14:paraId="2C86C479">
      <w:pPr>
        <w:widowControl/>
        <w:spacing w:line="240" w:lineRule="auto"/>
        <w:ind w:left="218" w:hanging="218" w:hangingChars="91"/>
        <w:jc w:val="both"/>
        <w:textAlignment w:val="center"/>
        <w:rPr>
          <w:rFonts w:hint="eastAsia" w:ascii="仿宋_GB2312" w:eastAsia="仿宋_GB2312"/>
          <w:sz w:val="24"/>
          <w:szCs w:val="24"/>
        </w:rPr>
      </w:pPr>
      <w:r>
        <w:rPr>
          <w:rFonts w:hint="eastAsia" w:ascii="仿宋_GB2312" w:eastAsia="仿宋_GB2312"/>
          <w:sz w:val="24"/>
          <w:szCs w:val="24"/>
        </w:rPr>
        <w:t>说明：1、审核部门在表中空格内注明“核准”或者“不予核准”；</w:t>
      </w:r>
    </w:p>
    <w:p w14:paraId="02B0F8D8">
      <w:pPr>
        <w:widowControl/>
        <w:numPr>
          <w:ilvl w:val="0"/>
          <w:numId w:val="0"/>
        </w:numPr>
        <w:spacing w:line="240" w:lineRule="auto"/>
        <w:ind w:left="0" w:leftChars="0" w:firstLine="0" w:firstLineChars="0"/>
        <w:jc w:val="center"/>
        <w:textAlignment w:val="center"/>
      </w:pPr>
      <w:r>
        <w:rPr>
          <w:rFonts w:hint="eastAsia" w:ascii="仿宋_GB2312" w:eastAsia="仿宋_GB2312"/>
          <w:sz w:val="24"/>
          <w:szCs w:val="24"/>
          <w:lang w:val="en-US" w:eastAsia="zh-CN"/>
        </w:rPr>
        <w:t>2.</w:t>
      </w:r>
      <w:r>
        <w:rPr>
          <w:rFonts w:hint="eastAsia" w:ascii="仿宋_GB2312" w:eastAsia="仿宋_GB2312"/>
          <w:sz w:val="24"/>
          <w:szCs w:val="24"/>
        </w:rPr>
        <w:t>陵川县建设项目招标核准意见表由陵川县发展改革和科技局负责监制。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74529"/>
    <w:rsid w:val="25474529"/>
    <w:rsid w:val="749B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Body Text First Indent"/>
    <w:basedOn w:val="2"/>
    <w:qFormat/>
    <w:uiPriority w:val="0"/>
    <w:pPr>
      <w:ind w:firstLine="420" w:firstLineChars="1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c2d50400-f68f-4d53-a1b7-d12befb664f6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588A910A</paraID>
      <start>0</start>
      <end>2</end>
      <status>modified</status>
      <modifiedWord>1.</modifiedWord>
      <trackRevisions>false</trackRevisions>
    </reviewItem>
    <reviewItem>
      <errorID>a8ed21d7-d544-4b7e-be00-6b2a085c725e</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588A910A</paraID>
      <start>60</start>
      <end>72</end>
      <status>modified</status>
      <modifiedWord>中华人民共和国招标投标法</modifiedWord>
      <trackRevisions>false</trackRevisions>
    </reviewItem>
    <reviewItem>
      <errorID>1b719bb6-5923-4846-9aad-3b5d0066849a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5B7245C8</paraID>
      <start>0</start>
      <end>2</end>
      <status>modified</status>
      <modifiedWord>2.</modifiedWord>
      <trackRevisions>false</trackRevisions>
    </reviewItem>
    <reviewItem>
      <errorID>b3f516bc-5ffb-41fa-a6bd-b133667a8b9d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2B0F8D8</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246c370e-7855-44b2-a5da-d13deebe7b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2026-06-22T03:52:00Z</dcterms:created>
  <dc:creator>摄鬼波波</dc:creator>
  <cp:lastModifiedBy>摄鬼波波</cp:lastModifiedBy>
  <dcterms:modified xsi:type="dcterms:W3CDTF">2026-06-22T03:55:27Z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8B85F99058C146CF9DE06DDC9CBC98AF_11</vt:lpwstr>
  </property>
  <property fmtid="{D5CDD505-2E9C-101B-9397-08002B2CF9AE}" pid="4" name="KSOTemplateDocerSaveRecord">
    <vt:lpwstr>eyJoZGlkIjoiMGZlNzU1NDAyMWExZTFjNjQxOThkMGQ0YmQ2OTMwZGMiLCJ1c2VySWQiOiIyMTIwOTUyIn0=</vt:lpwstr>
  </property>
</Properties>
</file>