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0B6FB">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leftChars="0" w:right="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spacing w:val="0"/>
          <w:w w:val="100"/>
          <w:position w:val="0"/>
          <w:sz w:val="44"/>
          <w:szCs w:val="44"/>
          <w:lang w:val="en-US" w:eastAsia="zh-CN"/>
        </w:rPr>
        <w:t>陵川</w:t>
      </w:r>
      <w:r>
        <w:rPr>
          <w:rFonts w:hint="eastAsia" w:ascii="方正小标宋简体" w:hAnsi="方正小标宋简体" w:eastAsia="方正小标宋简体" w:cs="方正小标宋简体"/>
          <w:color w:val="000000"/>
          <w:spacing w:val="0"/>
          <w:w w:val="100"/>
          <w:position w:val="0"/>
          <w:sz w:val="44"/>
          <w:szCs w:val="44"/>
        </w:rPr>
        <w:t>县城镇开发边界外乡村建设用地</w:t>
      </w:r>
    </w:p>
    <w:p w14:paraId="73717EAB">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leftChars="0" w:right="0" w:firstLine="0" w:firstLineChars="0"/>
        <w:jc w:val="center"/>
        <w:textAlignment w:val="auto"/>
        <w:rPr>
          <w:rFonts w:hint="eastAsia" w:ascii="方正小标宋简体" w:hAnsi="方正小标宋简体" w:eastAsia="方正小标宋简体" w:cs="方正小标宋简体"/>
          <w:sz w:val="44"/>
          <w:szCs w:val="44"/>
        </w:rPr>
      </w:pPr>
      <w:bookmarkStart w:id="0" w:name="bookmark9"/>
      <w:r>
        <w:rPr>
          <w:rFonts w:hint="eastAsia" w:ascii="方正小标宋简体" w:hAnsi="方正小标宋简体" w:eastAsia="方正小标宋简体" w:cs="方正小标宋简体"/>
          <w:color w:val="000000"/>
          <w:spacing w:val="0"/>
          <w:w w:val="100"/>
          <w:position w:val="0"/>
          <w:sz w:val="44"/>
          <w:szCs w:val="44"/>
        </w:rPr>
        <w:t>通则式规划管理技术规定(试行)</w:t>
      </w:r>
      <w:bookmarkEnd w:id="0"/>
    </w:p>
    <w:p w14:paraId="0E6A6ADB">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leftChars="0" w:right="0" w:firstLine="0" w:firstLineChars="0"/>
        <w:jc w:val="center"/>
        <w:textAlignment w:val="auto"/>
        <w:rPr>
          <w:rFonts w:hint="eastAsia" w:ascii="楷体_GB2312" w:hAnsi="楷体_GB2312" w:eastAsia="楷体_GB2312" w:cs="楷体_GB2312"/>
          <w:b/>
          <w:bCs/>
          <w:color w:val="3C4452"/>
          <w:spacing w:val="0"/>
          <w:w w:val="100"/>
          <w:position w:val="0"/>
          <w:sz w:val="32"/>
          <w:szCs w:val="32"/>
          <w:lang w:eastAsia="zh-CN"/>
        </w:rPr>
      </w:pPr>
      <w:bookmarkStart w:id="1" w:name="bookmark10"/>
      <w:bookmarkStart w:id="2" w:name="bookmark12"/>
      <w:bookmarkStart w:id="3" w:name="bookmark11"/>
      <w:r>
        <w:rPr>
          <w:rFonts w:hint="eastAsia" w:ascii="楷体_GB2312" w:hAnsi="楷体_GB2312" w:eastAsia="楷体_GB2312" w:cs="楷体_GB2312"/>
          <w:b/>
          <w:bCs/>
          <w:color w:val="3C4452"/>
          <w:spacing w:val="0"/>
          <w:w w:val="100"/>
          <w:position w:val="0"/>
          <w:sz w:val="32"/>
          <w:szCs w:val="32"/>
          <w:lang w:eastAsia="zh-CN"/>
        </w:rPr>
        <w:t>（</w:t>
      </w:r>
      <w:r>
        <w:rPr>
          <w:rFonts w:hint="eastAsia" w:ascii="楷体_GB2312" w:hAnsi="楷体_GB2312" w:eastAsia="楷体_GB2312" w:cs="楷体_GB2312"/>
          <w:b/>
          <w:bCs/>
          <w:color w:val="3C4452"/>
          <w:spacing w:val="0"/>
          <w:w w:val="100"/>
          <w:position w:val="0"/>
          <w:sz w:val="32"/>
          <w:szCs w:val="32"/>
          <w:lang w:val="en-US" w:eastAsia="zh-CN"/>
        </w:rPr>
        <w:t>征求意见稿</w:t>
      </w:r>
      <w:r>
        <w:rPr>
          <w:rFonts w:hint="eastAsia" w:ascii="楷体_GB2312" w:hAnsi="楷体_GB2312" w:eastAsia="楷体_GB2312" w:cs="楷体_GB2312"/>
          <w:b/>
          <w:bCs/>
          <w:color w:val="3C4452"/>
          <w:spacing w:val="0"/>
          <w:w w:val="100"/>
          <w:position w:val="0"/>
          <w:sz w:val="32"/>
          <w:szCs w:val="32"/>
          <w:lang w:eastAsia="zh-CN"/>
        </w:rPr>
        <w:t>）</w:t>
      </w:r>
    </w:p>
    <w:p w14:paraId="6FE96715">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70" w:lineRule="exact"/>
        <w:ind w:left="0" w:leftChars="0" w:right="0" w:firstLine="0" w:firstLineChars="0"/>
        <w:jc w:val="center"/>
        <w:textAlignment w:val="auto"/>
        <w:rPr>
          <w:rFonts w:hint="eastAsia" w:ascii="楷体_GB2312" w:hAnsi="楷体_GB2312" w:eastAsia="楷体_GB2312" w:cs="楷体_GB2312"/>
          <w:b w:val="0"/>
          <w:bCs w:val="0"/>
          <w:color w:val="3C4452"/>
          <w:spacing w:val="0"/>
          <w:w w:val="100"/>
          <w:position w:val="0"/>
          <w:sz w:val="32"/>
          <w:szCs w:val="32"/>
          <w:lang w:eastAsia="zh-CN"/>
        </w:rPr>
      </w:pPr>
    </w:p>
    <w:p w14:paraId="5B898BF6">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color w:val="3C4452"/>
          <w:spacing w:val="0"/>
          <w:w w:val="100"/>
          <w:position w:val="0"/>
          <w:sz w:val="32"/>
          <w:szCs w:val="32"/>
        </w:rPr>
        <w:t>ー、</w:t>
      </w:r>
      <w:r>
        <w:rPr>
          <w:rFonts w:hint="eastAsia" w:ascii="黑体" w:hAnsi="黑体" w:eastAsia="黑体" w:cs="黑体"/>
          <w:b w:val="0"/>
          <w:bCs w:val="0"/>
          <w:color w:val="000000"/>
          <w:spacing w:val="0"/>
          <w:w w:val="100"/>
          <w:position w:val="0"/>
          <w:sz w:val="32"/>
          <w:szCs w:val="32"/>
        </w:rPr>
        <w:t>编制目的</w:t>
      </w:r>
      <w:bookmarkEnd w:id="1"/>
      <w:bookmarkEnd w:id="2"/>
      <w:bookmarkEnd w:id="3"/>
    </w:p>
    <w:p w14:paraId="6FE2BFC5">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pacing w:val="0"/>
          <w:w w:val="100"/>
          <w:position w:val="0"/>
          <w:sz w:val="32"/>
          <w:szCs w:val="32"/>
        </w:rPr>
        <w:t>为深化</w:t>
      </w:r>
      <w:r>
        <w:rPr>
          <w:rFonts w:hint="eastAsia" w:ascii="仿宋_GB2312" w:hAnsi="仿宋_GB2312" w:eastAsia="仿宋_GB2312" w:cs="仿宋_GB2312"/>
          <w:b w:val="0"/>
          <w:bCs w:val="0"/>
          <w:color w:val="000000"/>
          <w:spacing w:val="0"/>
          <w:w w:val="100"/>
          <w:position w:val="0"/>
          <w:sz w:val="32"/>
          <w:szCs w:val="32"/>
          <w:lang w:val="en-US" w:eastAsia="zh-CN"/>
        </w:rPr>
        <w:t>陵川</w:t>
      </w:r>
      <w:r>
        <w:rPr>
          <w:rFonts w:hint="eastAsia" w:ascii="仿宋_GB2312" w:hAnsi="仿宋_GB2312" w:eastAsia="仿宋_GB2312" w:cs="仿宋_GB2312"/>
          <w:b w:val="0"/>
          <w:bCs w:val="0"/>
          <w:color w:val="000000"/>
          <w:spacing w:val="0"/>
          <w:w w:val="100"/>
          <w:position w:val="0"/>
          <w:sz w:val="32"/>
          <w:szCs w:val="32"/>
        </w:rPr>
        <w:t>县城镇开发边界外乡村地区的规划管理,加快乡村地区国土空间规划编制和实施,实现乡村地区规划管理全覆盖,为乡村振兴各类开发建设活动提供规划依据,全面推进乡村振兴,助推乡村高质量发展,特编制</w:t>
      </w:r>
      <w:r>
        <w:rPr>
          <w:rFonts w:hint="eastAsia" w:ascii="仿宋_GB2312" w:hAnsi="仿宋_GB2312" w:eastAsia="仿宋_GB2312" w:cs="仿宋_GB2312"/>
          <w:b w:val="0"/>
          <w:bCs w:val="0"/>
          <w:color w:val="000000"/>
          <w:spacing w:val="0"/>
          <w:w w:val="100"/>
          <w:position w:val="0"/>
          <w:sz w:val="32"/>
          <w:szCs w:val="32"/>
          <w:lang w:val="en-US" w:eastAsia="zh-CN"/>
        </w:rPr>
        <w:t>陵川</w:t>
      </w:r>
      <w:r>
        <w:rPr>
          <w:rFonts w:hint="eastAsia" w:ascii="仿宋_GB2312" w:hAnsi="仿宋_GB2312" w:eastAsia="仿宋_GB2312" w:cs="仿宋_GB2312"/>
          <w:b w:val="0"/>
          <w:bCs w:val="0"/>
          <w:color w:val="000000"/>
          <w:spacing w:val="0"/>
          <w:w w:val="100"/>
          <w:position w:val="0"/>
          <w:sz w:val="32"/>
          <w:szCs w:val="32"/>
        </w:rPr>
        <w:t>县城镇开发边界外乡村建设用地通则式规划管理技术规定(以下简称“本规定”)。</w:t>
      </w:r>
    </w:p>
    <w:p w14:paraId="19963D14">
      <w:pPr>
        <w:pStyle w:val="8"/>
        <w:keepNext w:val="0"/>
        <w:keepLines w:val="0"/>
        <w:pageBreakBefore w:val="0"/>
        <w:widowControl w:val="0"/>
        <w:shd w:val="clear" w:color="auto" w:fill="auto"/>
        <w:tabs>
          <w:tab w:val="left" w:pos="797"/>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bookmarkStart w:id="4" w:name="bookmark15"/>
      <w:bookmarkStart w:id="5" w:name="bookmark14"/>
      <w:bookmarkStart w:id="6" w:name="bookmark16"/>
      <w:bookmarkStart w:id="7" w:name="bookmark13"/>
      <w:r>
        <w:rPr>
          <w:rFonts w:hint="eastAsia" w:ascii="黑体" w:hAnsi="黑体" w:eastAsia="黑体" w:cs="黑体"/>
          <w:b w:val="0"/>
          <w:bCs w:val="0"/>
          <w:color w:val="3C4452"/>
          <w:spacing w:val="0"/>
          <w:w w:val="100"/>
          <w:position w:val="0"/>
          <w:sz w:val="32"/>
          <w:szCs w:val="32"/>
        </w:rPr>
        <w:t>二</w:t>
      </w:r>
      <w:bookmarkEnd w:id="4"/>
      <w:r>
        <w:rPr>
          <w:rFonts w:hint="eastAsia" w:ascii="黑体" w:hAnsi="黑体" w:eastAsia="黑体" w:cs="黑体"/>
          <w:b w:val="0"/>
          <w:bCs w:val="0"/>
          <w:color w:val="3C4452"/>
          <w:spacing w:val="0"/>
          <w:w w:val="100"/>
          <w:position w:val="0"/>
          <w:sz w:val="32"/>
          <w:szCs w:val="32"/>
        </w:rPr>
        <w:t>、</w:t>
      </w:r>
      <w:r>
        <w:rPr>
          <w:rFonts w:hint="eastAsia" w:ascii="黑体" w:hAnsi="黑体" w:eastAsia="黑体" w:cs="黑体"/>
          <w:b w:val="0"/>
          <w:bCs w:val="0"/>
          <w:color w:val="000000"/>
          <w:spacing w:val="0"/>
          <w:w w:val="100"/>
          <w:position w:val="0"/>
          <w:sz w:val="32"/>
          <w:szCs w:val="32"/>
        </w:rPr>
        <w:t>编制依据</w:t>
      </w:r>
      <w:bookmarkEnd w:id="5"/>
      <w:bookmarkEnd w:id="6"/>
      <w:bookmarkEnd w:id="7"/>
    </w:p>
    <w:p w14:paraId="78D5D696">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pacing w:val="0"/>
          <w:w w:val="100"/>
          <w:position w:val="0"/>
          <w:sz w:val="32"/>
          <w:szCs w:val="32"/>
        </w:rPr>
        <w:t>本规定依据</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中华人民共和国城乡规划法</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中华人民共和国土地管理法</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中共中央国务院关于建立国土空间规划体系并监督实施的若干意见</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国土空间调查、规划、用途管制用地用海分类指南</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lang w:val="en-US" w:eastAsia="zh-CN"/>
        </w:rPr>
        <w:t>工</w:t>
      </w:r>
      <w:r>
        <w:rPr>
          <w:rFonts w:hint="eastAsia" w:ascii="仿宋_GB2312" w:hAnsi="仿宋_GB2312" w:eastAsia="仿宋_GB2312" w:cs="仿宋_GB2312"/>
          <w:b w:val="0"/>
          <w:bCs w:val="0"/>
          <w:color w:val="000000"/>
          <w:spacing w:val="0"/>
          <w:w w:val="100"/>
          <w:position w:val="0"/>
          <w:sz w:val="32"/>
          <w:szCs w:val="32"/>
        </w:rPr>
        <w:t>业项目建设用地控制指标</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lang w:val="en-US" w:eastAsia="zh-CN"/>
        </w:rPr>
        <w:t>晋城市城乡规划管理技术规定</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以及其他相关法律法规、政策文件、标准规范为基础,结合</w:t>
      </w:r>
      <w:r>
        <w:rPr>
          <w:rFonts w:hint="eastAsia" w:ascii="仿宋_GB2312" w:hAnsi="仿宋_GB2312" w:eastAsia="仿宋_GB2312" w:cs="仿宋_GB2312"/>
          <w:b w:val="0"/>
          <w:bCs w:val="0"/>
          <w:color w:val="000000"/>
          <w:spacing w:val="0"/>
          <w:w w:val="100"/>
          <w:position w:val="0"/>
          <w:sz w:val="32"/>
          <w:szCs w:val="32"/>
          <w:lang w:eastAsia="zh-CN"/>
        </w:rPr>
        <w:t>陵川</w:t>
      </w:r>
      <w:r>
        <w:rPr>
          <w:rFonts w:hint="eastAsia" w:ascii="仿宋_GB2312" w:hAnsi="仿宋_GB2312" w:eastAsia="仿宋_GB2312" w:cs="仿宋_GB2312"/>
          <w:b w:val="0"/>
          <w:bCs w:val="0"/>
          <w:color w:val="000000"/>
          <w:spacing w:val="0"/>
          <w:w w:val="100"/>
          <w:position w:val="0"/>
          <w:sz w:val="32"/>
          <w:szCs w:val="32"/>
        </w:rPr>
        <w:t>县实际情况制定。</w:t>
      </w:r>
    </w:p>
    <w:p w14:paraId="31F2B215">
      <w:pPr>
        <w:pStyle w:val="8"/>
        <w:keepNext w:val="0"/>
        <w:keepLines w:val="0"/>
        <w:pageBreakBefore w:val="0"/>
        <w:widowControl w:val="0"/>
        <w:shd w:val="clear" w:color="auto" w:fill="auto"/>
        <w:tabs>
          <w:tab w:val="left" w:pos="797"/>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bookmarkStart w:id="8" w:name="bookmark19"/>
      <w:bookmarkStart w:id="9" w:name="bookmark17"/>
      <w:bookmarkStart w:id="10" w:name="bookmark18"/>
      <w:bookmarkStart w:id="11" w:name="bookmark20"/>
      <w:r>
        <w:rPr>
          <w:rFonts w:hint="eastAsia" w:ascii="黑体" w:hAnsi="黑体" w:eastAsia="黑体" w:cs="黑体"/>
          <w:b w:val="0"/>
          <w:bCs w:val="0"/>
          <w:color w:val="3C4452"/>
          <w:spacing w:val="0"/>
          <w:w w:val="100"/>
          <w:position w:val="0"/>
          <w:sz w:val="32"/>
          <w:szCs w:val="32"/>
        </w:rPr>
        <w:t>三</w:t>
      </w:r>
      <w:bookmarkEnd w:id="8"/>
      <w:r>
        <w:rPr>
          <w:rFonts w:hint="eastAsia" w:ascii="黑体" w:hAnsi="黑体" w:eastAsia="黑体" w:cs="黑体"/>
          <w:b w:val="0"/>
          <w:bCs w:val="0"/>
          <w:color w:val="3C4452"/>
          <w:spacing w:val="0"/>
          <w:w w:val="100"/>
          <w:position w:val="0"/>
          <w:sz w:val="32"/>
          <w:szCs w:val="32"/>
        </w:rPr>
        <w:t>、</w:t>
      </w:r>
      <w:r>
        <w:rPr>
          <w:rFonts w:hint="eastAsia" w:ascii="黑体" w:hAnsi="黑体" w:eastAsia="黑体" w:cs="黑体"/>
          <w:b w:val="0"/>
          <w:bCs w:val="0"/>
          <w:color w:val="000000"/>
          <w:spacing w:val="0"/>
          <w:w w:val="100"/>
          <w:position w:val="0"/>
          <w:sz w:val="32"/>
          <w:szCs w:val="32"/>
        </w:rPr>
        <w:t>适用范围</w:t>
      </w:r>
      <w:bookmarkEnd w:id="9"/>
      <w:bookmarkEnd w:id="10"/>
      <w:bookmarkEnd w:id="11"/>
    </w:p>
    <w:p w14:paraId="361FF23C">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rPr>
      </w:pPr>
      <w:r>
        <w:rPr>
          <w:rFonts w:hint="eastAsia" w:ascii="仿宋_GB2312" w:hAnsi="仿宋_GB2312" w:eastAsia="仿宋_GB2312" w:cs="仿宋_GB2312"/>
          <w:b w:val="0"/>
          <w:bCs w:val="0"/>
          <w:color w:val="000000"/>
          <w:spacing w:val="0"/>
          <w:w w:val="100"/>
          <w:position w:val="0"/>
          <w:sz w:val="32"/>
          <w:szCs w:val="32"/>
        </w:rPr>
        <w:t>本规定适用于</w:t>
      </w:r>
      <w:r>
        <w:rPr>
          <w:rFonts w:hint="eastAsia" w:ascii="仿宋_GB2312" w:hAnsi="仿宋_GB2312" w:eastAsia="仿宋_GB2312" w:cs="仿宋_GB2312"/>
          <w:b w:val="0"/>
          <w:bCs w:val="0"/>
          <w:color w:val="000000"/>
          <w:spacing w:val="0"/>
          <w:w w:val="100"/>
          <w:position w:val="0"/>
          <w:sz w:val="32"/>
          <w:szCs w:val="32"/>
          <w:lang w:eastAsia="zh-CN"/>
        </w:rPr>
        <w:t>陵川</w:t>
      </w:r>
      <w:r>
        <w:rPr>
          <w:rFonts w:hint="eastAsia" w:ascii="仿宋_GB2312" w:hAnsi="仿宋_GB2312" w:eastAsia="仿宋_GB2312" w:cs="仿宋_GB2312"/>
          <w:b w:val="0"/>
          <w:bCs w:val="0"/>
          <w:color w:val="000000"/>
          <w:spacing w:val="0"/>
          <w:w w:val="100"/>
          <w:position w:val="0"/>
          <w:sz w:val="32"/>
          <w:szCs w:val="32"/>
        </w:rPr>
        <w:t>县城镇开发边界外、村庄规划(详细规划)未覆盖的乡村地区。符合条件的农</w:t>
      </w:r>
      <w:r>
        <w:rPr>
          <w:rFonts w:hint="eastAsia" w:ascii="仿宋_GB2312" w:hAnsi="仿宋_GB2312" w:eastAsia="仿宋_GB2312" w:cs="仿宋_GB2312"/>
          <w:b w:val="0"/>
          <w:bCs w:val="0"/>
          <w:color w:val="000000"/>
          <w:spacing w:val="0"/>
          <w:w w:val="100"/>
          <w:position w:val="0"/>
          <w:sz w:val="32"/>
          <w:szCs w:val="32"/>
          <w:lang w:val="en-US" w:eastAsia="zh-CN"/>
        </w:rPr>
        <w:t>村村民住宅建设</w:t>
      </w:r>
      <w:r>
        <w:rPr>
          <w:rFonts w:hint="eastAsia" w:ascii="仿宋_GB2312" w:hAnsi="仿宋_GB2312" w:eastAsia="仿宋_GB2312" w:cs="仿宋_GB2312"/>
          <w:b w:val="0"/>
          <w:bCs w:val="0"/>
          <w:color w:val="000000"/>
          <w:spacing w:val="0"/>
          <w:w w:val="100"/>
          <w:position w:val="0"/>
          <w:sz w:val="32"/>
          <w:szCs w:val="32"/>
        </w:rPr>
        <w:t>(新建、改建、扩建)、乡村公共服务设施和公用设施建设、乡村</w:t>
      </w:r>
      <w:r>
        <w:rPr>
          <w:rFonts w:hint="eastAsia" w:ascii="仿宋_GB2312" w:hAnsi="仿宋_GB2312" w:eastAsia="仿宋_GB2312" w:cs="仿宋_GB2312"/>
          <w:b w:val="0"/>
          <w:bCs w:val="0"/>
          <w:color w:val="000000"/>
          <w:spacing w:val="0"/>
          <w:w w:val="100"/>
          <w:position w:val="0"/>
          <w:sz w:val="32"/>
          <w:szCs w:val="32"/>
          <w:lang w:val="en-US" w:eastAsia="zh-CN"/>
        </w:rPr>
        <w:t>企业和公益事业</w:t>
      </w:r>
      <w:r>
        <w:rPr>
          <w:rFonts w:hint="eastAsia" w:ascii="仿宋_GB2312" w:hAnsi="仿宋_GB2312" w:eastAsia="仿宋_GB2312" w:cs="仿宋_GB2312"/>
          <w:b w:val="0"/>
          <w:bCs w:val="0"/>
          <w:color w:val="000000"/>
          <w:spacing w:val="0"/>
          <w:w w:val="100"/>
          <w:position w:val="0"/>
          <w:sz w:val="32"/>
          <w:szCs w:val="32"/>
        </w:rPr>
        <w:t>建设的规划管理</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可依据“通则式”规定申请办理规划许可手续。</w:t>
      </w:r>
    </w:p>
    <w:p w14:paraId="1ECD1BA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pacing w:val="0"/>
          <w:w w:val="100"/>
          <w:position w:val="0"/>
          <w:sz w:val="32"/>
          <w:szCs w:val="32"/>
        </w:rPr>
        <w:t>村域范围内、城镇开发边界外的国有建设用地的各类新建、改建、扩建项目</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已编制村庄规划但未批复期间以及村庄规划批复后但未明确具体管控要求的乡村项目建设,在遵守相关法律法规、规范标准基础上</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可参照本规定执行</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有法定规划或相关行业规定有特殊要求的应从其规定</w:t>
      </w:r>
      <w:r>
        <w:rPr>
          <w:rFonts w:hint="eastAsia" w:ascii="仿宋_GB2312" w:hAnsi="仿宋_GB2312" w:eastAsia="仿宋_GB2312" w:cs="仿宋_GB2312"/>
          <w:b w:val="0"/>
          <w:bCs w:val="0"/>
          <w:color w:val="000000"/>
          <w:spacing w:val="0"/>
          <w:w w:val="100"/>
          <w:position w:val="0"/>
          <w:sz w:val="32"/>
          <w:szCs w:val="32"/>
          <w:lang w:eastAsia="zh-CN"/>
        </w:rPr>
        <w:t>。</w:t>
      </w:r>
    </w:p>
    <w:p w14:paraId="70781550">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lang w:val="en-US" w:eastAsia="zh-CN"/>
        </w:rPr>
      </w:pPr>
      <w:bookmarkStart w:id="12" w:name="bookmark23"/>
      <w:bookmarkStart w:id="13" w:name="bookmark24"/>
      <w:bookmarkStart w:id="14" w:name="bookmark22"/>
      <w:bookmarkStart w:id="15" w:name="bookmark21"/>
      <w:r>
        <w:rPr>
          <w:rFonts w:hint="eastAsia" w:ascii="黑体" w:hAnsi="黑体" w:eastAsia="黑体" w:cs="黑体"/>
          <w:b w:val="0"/>
          <w:bCs w:val="0"/>
          <w:color w:val="000000"/>
          <w:spacing w:val="0"/>
          <w:w w:val="100"/>
          <w:position w:val="0"/>
          <w:sz w:val="32"/>
          <w:szCs w:val="32"/>
        </w:rPr>
        <w:t>四</w:t>
      </w:r>
      <w:bookmarkEnd w:id="12"/>
      <w:r>
        <w:rPr>
          <w:rFonts w:hint="eastAsia" w:ascii="黑体" w:hAnsi="黑体" w:eastAsia="黑体" w:cs="黑体"/>
          <w:b w:val="0"/>
          <w:bCs w:val="0"/>
          <w:color w:val="000000"/>
          <w:spacing w:val="0"/>
          <w:w w:val="100"/>
          <w:position w:val="0"/>
          <w:sz w:val="32"/>
          <w:szCs w:val="32"/>
        </w:rPr>
        <w:t>、底线管控</w:t>
      </w:r>
      <w:bookmarkEnd w:id="13"/>
      <w:bookmarkEnd w:id="14"/>
      <w:bookmarkEnd w:id="15"/>
      <w:r>
        <w:rPr>
          <w:rFonts w:hint="eastAsia" w:ascii="黑体" w:hAnsi="黑体" w:eastAsia="黑体" w:cs="黑体"/>
          <w:b w:val="0"/>
          <w:bCs w:val="0"/>
          <w:color w:val="000000"/>
          <w:spacing w:val="0"/>
          <w:w w:val="100"/>
          <w:position w:val="0"/>
          <w:sz w:val="32"/>
          <w:szCs w:val="32"/>
          <w:lang w:val="en-US" w:eastAsia="zh-CN"/>
        </w:rPr>
        <w:t>要求</w:t>
      </w:r>
    </w:p>
    <w:p w14:paraId="1ADDE9A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一</w:t>
      </w: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rPr>
        <w:t>各类控制线及管控要求</w:t>
      </w:r>
    </w:p>
    <w:p w14:paraId="45960B1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lang w:eastAsia="zh-CN"/>
        </w:rPr>
      </w:pPr>
      <w:r>
        <w:rPr>
          <w:rFonts w:hint="eastAsia" w:ascii="仿宋_GB2312" w:hAnsi="仿宋_GB2312" w:eastAsia="仿宋_GB2312" w:cs="仿宋_GB2312"/>
          <w:b w:val="0"/>
          <w:bCs w:val="0"/>
          <w:color w:val="000000"/>
          <w:spacing w:val="0"/>
          <w:w w:val="100"/>
          <w:position w:val="0"/>
          <w:sz w:val="32"/>
          <w:szCs w:val="32"/>
          <w:lang w:val="en-US" w:eastAsia="zh-CN"/>
        </w:rPr>
        <w:t>1.</w:t>
      </w:r>
      <w:r>
        <w:rPr>
          <w:rFonts w:hint="eastAsia" w:ascii="仿宋_GB2312" w:hAnsi="仿宋_GB2312" w:eastAsia="仿宋_GB2312" w:cs="仿宋_GB2312"/>
          <w:b w:val="0"/>
          <w:bCs w:val="0"/>
          <w:color w:val="000000"/>
          <w:spacing w:val="0"/>
          <w:w w:val="100"/>
          <w:position w:val="0"/>
          <w:sz w:val="32"/>
          <w:szCs w:val="32"/>
        </w:rPr>
        <w:t>永久基本农田</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已划定的永久基本农田保护红线,任何单位和个人不允许擅自占用或者改变其用途。坚决遏制耕地“非农化”、防止耕地“非粮化”</w:t>
      </w:r>
      <w:r>
        <w:rPr>
          <w:rFonts w:hint="eastAsia" w:ascii="仿宋_GB2312" w:hAnsi="仿宋_GB2312" w:eastAsia="仿宋_GB2312" w:cs="仿宋_GB2312"/>
          <w:b w:val="0"/>
          <w:bCs w:val="0"/>
          <w:color w:val="000000"/>
          <w:spacing w:val="0"/>
          <w:w w:val="100"/>
          <w:position w:val="0"/>
          <w:sz w:val="32"/>
          <w:szCs w:val="32"/>
          <w:lang w:eastAsia="zh-CN"/>
        </w:rPr>
        <w:t>。</w:t>
      </w:r>
    </w:p>
    <w:p w14:paraId="680713A7">
      <w:pPr>
        <w:pStyle w:val="9"/>
        <w:keepNext w:val="0"/>
        <w:keepLines w:val="0"/>
        <w:pageBreakBefore w:val="0"/>
        <w:widowControl w:val="0"/>
        <w:numPr>
          <w:ilvl w:val="0"/>
          <w:numId w:val="0"/>
        </w:numPr>
        <w:shd w:val="clear" w:color="auto" w:fill="auto"/>
        <w:tabs>
          <w:tab w:val="left" w:pos="993"/>
        </w:tabs>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rPr>
      </w:pPr>
      <w:bookmarkStart w:id="16" w:name="bookmark25"/>
      <w:bookmarkEnd w:id="16"/>
      <w:r>
        <w:rPr>
          <w:rFonts w:hint="eastAsia" w:ascii="仿宋_GB2312" w:hAnsi="仿宋_GB2312" w:eastAsia="仿宋_GB2312" w:cs="仿宋_GB2312"/>
          <w:b w:val="0"/>
          <w:bCs w:val="0"/>
          <w:color w:val="000000"/>
          <w:spacing w:val="0"/>
          <w:w w:val="100"/>
          <w:position w:val="0"/>
          <w:sz w:val="32"/>
          <w:szCs w:val="32"/>
          <w:lang w:val="en-US" w:eastAsia="zh-CN"/>
        </w:rPr>
        <w:t>2.</w:t>
      </w:r>
      <w:r>
        <w:rPr>
          <w:rFonts w:hint="eastAsia" w:ascii="仿宋_GB2312" w:hAnsi="仿宋_GB2312" w:eastAsia="仿宋_GB2312" w:cs="仿宋_GB2312"/>
          <w:b w:val="0"/>
          <w:bCs w:val="0"/>
          <w:color w:val="000000"/>
          <w:spacing w:val="0"/>
          <w:w w:val="100"/>
          <w:position w:val="0"/>
          <w:sz w:val="32"/>
          <w:szCs w:val="32"/>
        </w:rPr>
        <w:t>生态保护红线</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生态保护红线内乡村地区</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应严格遵守生态保护红线管理规则</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自然保护地核心保护区原则上不允许人为活动</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生态保护红线内，自然保护地核心保护区外，不允许开发性、生产性建设活动，在符合法律法规前提下，仅允许对生态功能不造成破坏的有限人为活动。</w:t>
      </w:r>
    </w:p>
    <w:p w14:paraId="4815E0DF">
      <w:pPr>
        <w:pStyle w:val="9"/>
        <w:keepNext w:val="0"/>
        <w:keepLines w:val="0"/>
        <w:pageBreakBefore w:val="0"/>
        <w:widowControl w:val="0"/>
        <w:numPr>
          <w:ilvl w:val="0"/>
          <w:numId w:val="0"/>
        </w:numPr>
        <w:shd w:val="clear" w:color="auto" w:fill="auto"/>
        <w:tabs>
          <w:tab w:val="left" w:pos="993"/>
        </w:tabs>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eastAsia" w:ascii="仿宋_GB2312" w:hAnsi="仿宋_GB2312" w:eastAsia="仿宋_GB2312" w:cs="仿宋_GB2312"/>
          <w:b w:val="0"/>
          <w:bCs w:val="0"/>
          <w:sz w:val="32"/>
          <w:szCs w:val="32"/>
        </w:rPr>
      </w:pPr>
      <w:bookmarkStart w:id="17" w:name="bookmark26"/>
      <w:bookmarkEnd w:id="17"/>
      <w:r>
        <w:rPr>
          <w:rFonts w:hint="eastAsia" w:ascii="仿宋_GB2312" w:hAnsi="仿宋_GB2312" w:eastAsia="仿宋_GB2312" w:cs="仿宋_GB2312"/>
          <w:b w:val="0"/>
          <w:bCs w:val="0"/>
          <w:color w:val="000000"/>
          <w:spacing w:val="0"/>
          <w:w w:val="100"/>
          <w:position w:val="0"/>
          <w:sz w:val="32"/>
          <w:szCs w:val="32"/>
          <w:lang w:val="en-US" w:eastAsia="zh-CN"/>
        </w:rPr>
        <w:t>3.</w:t>
      </w:r>
      <w:r>
        <w:rPr>
          <w:rFonts w:hint="eastAsia" w:ascii="仿宋_GB2312" w:hAnsi="仿宋_GB2312" w:eastAsia="仿宋_GB2312" w:cs="仿宋_GB2312"/>
          <w:b w:val="0"/>
          <w:bCs w:val="0"/>
          <w:color w:val="000000"/>
          <w:spacing w:val="0"/>
          <w:w w:val="100"/>
          <w:position w:val="0"/>
          <w:sz w:val="32"/>
          <w:szCs w:val="32"/>
        </w:rPr>
        <w:t>其他底线控制</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还应符合历史文化保护线、洪涝风险控制线等其他控制线有关管控要求。</w:t>
      </w:r>
    </w:p>
    <w:p w14:paraId="559311BF">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left"/>
        <w:textAlignment w:val="auto"/>
        <w:rPr>
          <w:rFonts w:hint="eastAsia" w:ascii="仿宋_GB2312" w:hAnsi="仿宋_GB2312" w:eastAsia="仿宋_GB2312" w:cs="仿宋_GB2312"/>
          <w:b w:val="0"/>
          <w:bCs w:val="0"/>
          <w:color w:val="000000"/>
          <w:spacing w:val="0"/>
          <w:w w:val="100"/>
          <w:position w:val="0"/>
          <w:sz w:val="32"/>
          <w:szCs w:val="32"/>
          <w:lang w:eastAsia="zh-CN"/>
        </w:rPr>
      </w:pPr>
      <w:bookmarkStart w:id="18" w:name="bookmark27"/>
      <w:bookmarkEnd w:id="18"/>
      <w:r>
        <w:rPr>
          <w:rFonts w:hint="eastAsia" w:ascii="仿宋_GB2312" w:hAnsi="仿宋_GB2312" w:eastAsia="仿宋_GB2312" w:cs="仿宋_GB2312"/>
          <w:b w:val="0"/>
          <w:bCs w:val="0"/>
          <w:color w:val="000000"/>
          <w:spacing w:val="0"/>
          <w:w w:val="100"/>
          <w:position w:val="0"/>
          <w:sz w:val="32"/>
          <w:szCs w:val="32"/>
          <w:lang w:val="en-US" w:eastAsia="zh-CN"/>
        </w:rPr>
        <w:t>4.</w:t>
      </w:r>
      <w:r>
        <w:rPr>
          <w:rFonts w:hint="eastAsia" w:ascii="仿宋_GB2312" w:hAnsi="仿宋_GB2312" w:eastAsia="仿宋_GB2312" w:cs="仿宋_GB2312"/>
          <w:b w:val="0"/>
          <w:bCs w:val="0"/>
          <w:color w:val="000000"/>
          <w:spacing w:val="0"/>
          <w:w w:val="100"/>
          <w:position w:val="0"/>
          <w:sz w:val="32"/>
          <w:szCs w:val="32"/>
        </w:rPr>
        <w:t>村庄建设</w:t>
      </w:r>
      <w:r>
        <w:rPr>
          <w:rFonts w:hint="eastAsia" w:ascii="仿宋_GB2312" w:hAnsi="仿宋_GB2312" w:eastAsia="仿宋_GB2312" w:cs="仿宋_GB2312"/>
          <w:b w:val="0"/>
          <w:bCs w:val="0"/>
          <w:color w:val="000000"/>
          <w:spacing w:val="0"/>
          <w:w w:val="100"/>
          <w:position w:val="0"/>
          <w:sz w:val="32"/>
          <w:szCs w:val="32"/>
          <w:lang w:val="en-US" w:eastAsia="zh-CN"/>
        </w:rPr>
        <w:t>边界：</w:t>
      </w:r>
      <w:r>
        <w:rPr>
          <w:rFonts w:hint="eastAsia" w:ascii="仿宋_GB2312" w:hAnsi="仿宋_GB2312" w:eastAsia="仿宋_GB2312" w:cs="仿宋_GB2312"/>
          <w:b w:val="0"/>
          <w:bCs w:val="0"/>
          <w:color w:val="000000"/>
          <w:spacing w:val="0"/>
          <w:w w:val="100"/>
          <w:position w:val="0"/>
          <w:sz w:val="32"/>
          <w:szCs w:val="32"/>
          <w:lang w:eastAsia="zh-CN"/>
        </w:rPr>
        <w:t>落实国土空间总体规划村庄建设边界划定成果，引导乡村建设向村庄建设边界内集中。</w:t>
      </w:r>
    </w:p>
    <w:p w14:paraId="5345566F">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color w:val="000000"/>
          <w:spacing w:val="0"/>
          <w:w w:val="100"/>
          <w:position w:val="0"/>
          <w:sz w:val="32"/>
          <w:szCs w:val="32"/>
          <w:lang w:val="en-US" w:eastAsia="zh-CN"/>
        </w:rPr>
      </w:pP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二</w:t>
      </w: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负面清单管控要求</w:t>
      </w:r>
    </w:p>
    <w:p w14:paraId="2642F1C9">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left"/>
        <w:textAlignment w:val="auto"/>
        <w:rPr>
          <w:rFonts w:hint="default"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按照《自然资源部办公厅关于印发&lt;乡村振兴用地政策指南（2023年）&gt;的通知》（自然资办发</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val="0"/>
          <w:bCs w:val="0"/>
          <w:color w:val="000000"/>
          <w:spacing w:val="0"/>
          <w:w w:val="100"/>
          <w:position w:val="0"/>
          <w:sz w:val="32"/>
          <w:szCs w:val="32"/>
          <w:lang w:val="en-US" w:eastAsia="zh-CN"/>
        </w:rPr>
        <w:t>2023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b w:val="0"/>
          <w:bCs w:val="0"/>
          <w:color w:val="000000"/>
          <w:spacing w:val="0"/>
          <w:w w:val="100"/>
          <w:position w:val="0"/>
          <w:sz w:val="32"/>
          <w:szCs w:val="32"/>
          <w:lang w:val="en-US" w:eastAsia="zh-CN"/>
        </w:rPr>
        <w:t>48号文件）附录1乡村振兴用地负面清单严格管控。</w:t>
      </w:r>
    </w:p>
    <w:p w14:paraId="1B5DF924">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eastAsia" w:ascii="黑体" w:hAnsi="黑体" w:eastAsia="黑体" w:cs="黑体"/>
          <w:b w:val="0"/>
          <w:bCs w:val="0"/>
          <w:color w:val="000000"/>
          <w:spacing w:val="0"/>
          <w:w w:val="100"/>
          <w:position w:val="0"/>
          <w:sz w:val="32"/>
          <w:szCs w:val="32"/>
          <w:lang w:val="en-US" w:eastAsia="zh-CN"/>
        </w:rPr>
      </w:pPr>
      <w:r>
        <w:rPr>
          <w:rFonts w:hint="eastAsia" w:ascii="黑体" w:hAnsi="黑体" w:eastAsia="黑体" w:cs="黑体"/>
          <w:b w:val="0"/>
          <w:bCs w:val="0"/>
          <w:color w:val="000000"/>
          <w:spacing w:val="0"/>
          <w:w w:val="100"/>
          <w:position w:val="0"/>
          <w:sz w:val="32"/>
          <w:szCs w:val="32"/>
          <w:lang w:val="en-US" w:eastAsia="zh-CN"/>
        </w:rPr>
        <w:t>五、用地布局和选址指引</w:t>
      </w:r>
    </w:p>
    <w:p w14:paraId="4813DCD0">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3" w:firstLineChars="200"/>
        <w:jc w:val="both"/>
        <w:textAlignment w:val="auto"/>
        <w:rPr>
          <w:rFonts w:hint="default" w:ascii="楷体_GB2312" w:hAnsi="楷体_GB2312" w:eastAsia="楷体_GB2312" w:cs="楷体_GB2312"/>
          <w:b/>
          <w:bCs/>
          <w:color w:val="000000"/>
          <w:spacing w:val="0"/>
          <w:w w:val="100"/>
          <w:position w:val="0"/>
          <w:sz w:val="32"/>
          <w:szCs w:val="32"/>
          <w:lang w:val="en-US" w:eastAsia="zh-CN"/>
        </w:rPr>
      </w:pPr>
      <w:r>
        <w:rPr>
          <w:rFonts w:hint="eastAsia" w:ascii="楷体_GB2312" w:hAnsi="楷体_GB2312" w:eastAsia="楷体_GB2312" w:cs="楷体_GB2312"/>
          <w:b/>
          <w:bCs/>
          <w:color w:val="000000"/>
          <w:spacing w:val="0"/>
          <w:w w:val="100"/>
          <w:position w:val="0"/>
          <w:sz w:val="32"/>
          <w:szCs w:val="32"/>
          <w:lang w:val="en-US" w:eastAsia="zh-CN"/>
        </w:rPr>
        <w:t>（一）基本原则</w:t>
      </w:r>
    </w:p>
    <w:p w14:paraId="7DFFDAC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eastAsia="zh-CN"/>
        </w:rPr>
        <w:t>陵川</w:t>
      </w:r>
      <w:r>
        <w:rPr>
          <w:rFonts w:hint="eastAsia" w:ascii="仿宋_GB2312" w:hAnsi="仿宋_GB2312" w:eastAsia="仿宋_GB2312" w:cs="仿宋_GB2312"/>
          <w:b w:val="0"/>
          <w:bCs w:val="0"/>
          <w:color w:val="000000"/>
          <w:spacing w:val="0"/>
          <w:w w:val="100"/>
          <w:position w:val="0"/>
          <w:sz w:val="32"/>
          <w:szCs w:val="32"/>
        </w:rPr>
        <w:t>县城镇开发边界外乡村地区用地布局</w:t>
      </w:r>
      <w:r>
        <w:rPr>
          <w:rFonts w:hint="eastAsia" w:ascii="仿宋_GB2312" w:hAnsi="仿宋_GB2312" w:eastAsia="仿宋_GB2312" w:cs="仿宋_GB2312"/>
          <w:b w:val="0"/>
          <w:bCs w:val="0"/>
          <w:color w:val="000000"/>
          <w:spacing w:val="0"/>
          <w:w w:val="100"/>
          <w:position w:val="0"/>
          <w:sz w:val="32"/>
          <w:szCs w:val="32"/>
          <w:lang w:val="en-US" w:eastAsia="zh-CN"/>
        </w:rPr>
        <w:t>和选址</w:t>
      </w:r>
      <w:r>
        <w:rPr>
          <w:rFonts w:hint="eastAsia" w:ascii="仿宋_GB2312" w:hAnsi="仿宋_GB2312" w:eastAsia="仿宋_GB2312" w:cs="仿宋_GB2312"/>
          <w:b w:val="0"/>
          <w:bCs w:val="0"/>
          <w:color w:val="000000"/>
          <w:spacing w:val="0"/>
          <w:w w:val="100"/>
          <w:position w:val="0"/>
          <w:sz w:val="32"/>
          <w:szCs w:val="32"/>
        </w:rPr>
        <w:t>应当遵循以下基本原则</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lang w:val="en-US" w:eastAsia="zh-CN"/>
        </w:rPr>
        <w:t>各类新增用地原则应布局在村庄建设区内，确需布局在外的，须符合分区准入及各类控制线管控要求。应选址在环境适宜、交通便利、配套完善的地段。</w:t>
      </w:r>
      <w:r>
        <w:rPr>
          <w:rFonts w:hint="eastAsia" w:ascii="仿宋_GB2312" w:hAnsi="仿宋_GB2312" w:eastAsia="仿宋_GB2312" w:cs="仿宋_GB2312"/>
          <w:b w:val="0"/>
          <w:bCs w:val="0"/>
          <w:color w:val="000000"/>
          <w:spacing w:val="0"/>
          <w:w w:val="100"/>
          <w:position w:val="0"/>
          <w:sz w:val="32"/>
          <w:szCs w:val="32"/>
        </w:rPr>
        <w:t>应合理节约集约用地</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新增村庄建设用地应与农村土地综合整治相结合</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充分利用原有闲置宅基地</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村内空闲地或其他未利用地</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少占或不占耕地。</w:t>
      </w:r>
      <w:r>
        <w:rPr>
          <w:rFonts w:hint="eastAsia" w:ascii="仿宋_GB2312" w:hAnsi="仿宋_GB2312" w:eastAsia="仿宋_GB2312" w:cs="仿宋_GB2312"/>
          <w:b w:val="0"/>
          <w:bCs w:val="0"/>
          <w:color w:val="000000"/>
          <w:spacing w:val="0"/>
          <w:w w:val="100"/>
          <w:position w:val="0"/>
          <w:sz w:val="32"/>
          <w:szCs w:val="32"/>
          <w:lang w:val="en-US" w:eastAsia="zh-CN"/>
        </w:rPr>
        <w:t>应严格遵守永久基本农田、生态保护红线、历史文化保护线等管控要求，</w:t>
      </w:r>
      <w:r>
        <w:rPr>
          <w:rFonts w:hint="eastAsia" w:ascii="仿宋_GB2312" w:hAnsi="仿宋_GB2312" w:eastAsia="仿宋_GB2312" w:cs="仿宋_GB2312"/>
          <w:b w:val="0"/>
          <w:bCs w:val="0"/>
          <w:color w:val="000000"/>
          <w:spacing w:val="0"/>
          <w:w w:val="100"/>
          <w:position w:val="0"/>
          <w:sz w:val="32"/>
          <w:szCs w:val="32"/>
        </w:rPr>
        <w:t>还应满足地质灾害及</w:t>
      </w:r>
      <w:r>
        <w:rPr>
          <w:rFonts w:hint="eastAsia" w:ascii="仿宋_GB2312" w:hAnsi="仿宋_GB2312" w:eastAsia="仿宋_GB2312" w:cs="仿宋_GB2312"/>
          <w:b w:val="0"/>
          <w:bCs w:val="0"/>
          <w:color w:val="000000"/>
          <w:spacing w:val="0"/>
          <w:w w:val="100"/>
          <w:position w:val="0"/>
          <w:sz w:val="32"/>
          <w:szCs w:val="32"/>
          <w:lang w:val="en-US" w:eastAsia="zh-CN"/>
        </w:rPr>
        <w:t>洪涝灾害</w:t>
      </w:r>
      <w:r>
        <w:rPr>
          <w:rFonts w:hint="eastAsia" w:ascii="仿宋_GB2312" w:hAnsi="仿宋_GB2312" w:eastAsia="仿宋_GB2312" w:cs="仿宋_GB2312"/>
          <w:b w:val="0"/>
          <w:bCs w:val="0"/>
          <w:color w:val="000000"/>
          <w:spacing w:val="0"/>
          <w:w w:val="100"/>
          <w:position w:val="0"/>
          <w:sz w:val="32"/>
          <w:szCs w:val="32"/>
        </w:rPr>
        <w:t>等防灾减灾要求。</w:t>
      </w:r>
    </w:p>
    <w:p w14:paraId="11A7E929">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3" w:firstLineChars="200"/>
        <w:jc w:val="both"/>
        <w:textAlignment w:val="auto"/>
        <w:rPr>
          <w:rFonts w:hint="eastAsia" w:ascii="楷体_GB2312" w:hAnsi="楷体_GB2312" w:eastAsia="楷体_GB2312" w:cs="楷体_GB2312"/>
          <w:b/>
          <w:bCs/>
          <w:color w:val="000000"/>
          <w:spacing w:val="0"/>
          <w:w w:val="100"/>
          <w:position w:val="0"/>
          <w:sz w:val="32"/>
          <w:szCs w:val="32"/>
          <w:lang w:val="en-US" w:eastAsia="zh-CN"/>
        </w:rPr>
      </w:pPr>
      <w:r>
        <w:rPr>
          <w:rFonts w:hint="eastAsia" w:ascii="楷体_GB2312" w:hAnsi="楷体_GB2312" w:eastAsia="楷体_GB2312" w:cs="楷体_GB2312"/>
          <w:b/>
          <w:bCs/>
          <w:color w:val="000000"/>
          <w:spacing w:val="0"/>
          <w:w w:val="100"/>
          <w:position w:val="0"/>
          <w:sz w:val="32"/>
          <w:szCs w:val="32"/>
          <w:lang w:val="en-US" w:eastAsia="zh-CN"/>
        </w:rPr>
        <w:t>（二）村民居住建筑用地布局指引</w:t>
      </w:r>
    </w:p>
    <w:p w14:paraId="5D1AA7F0">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村民居住建筑应符合《山西省人民政府办公厅关于印发山西省农村宅基地审批管理办法的通知》《山西省农村自建房规划管理办法》《晋城市农村自建房管理条例》等相关规范。村民居住建筑应顺应村庄发展规律和传统肌理格局，因地制宜合理布局，居民点迁建和撤并应尊重民意，留住乡愁。</w:t>
      </w:r>
    </w:p>
    <w:p w14:paraId="603ACEE1">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default"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村民宅基地以户为单位计算，一户只能拥有一处宅基地。新申请的宅基地面积每户不超过200平方米。村民住宅建筑原则上不宜超过3层，每层控制在3-3.5米左右。</w:t>
      </w:r>
    </w:p>
    <w:p w14:paraId="5D582B91">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3" w:firstLineChars="200"/>
        <w:jc w:val="both"/>
        <w:textAlignment w:val="auto"/>
        <w:rPr>
          <w:rFonts w:hint="eastAsia" w:ascii="楷体_GB2312" w:hAnsi="楷体_GB2312" w:eastAsia="楷体_GB2312" w:cs="楷体_GB2312"/>
          <w:b/>
          <w:bCs/>
          <w:color w:val="000000"/>
          <w:spacing w:val="0"/>
          <w:w w:val="100"/>
          <w:position w:val="0"/>
          <w:sz w:val="32"/>
          <w:szCs w:val="32"/>
          <w:lang w:val="en-US" w:eastAsia="zh-CN"/>
        </w:rPr>
      </w:pPr>
      <w:r>
        <w:rPr>
          <w:rFonts w:hint="eastAsia" w:ascii="楷体_GB2312" w:hAnsi="楷体_GB2312" w:eastAsia="楷体_GB2312" w:cs="楷体_GB2312"/>
          <w:b/>
          <w:bCs/>
          <w:color w:val="000000"/>
          <w:spacing w:val="0"/>
          <w:w w:val="100"/>
          <w:position w:val="0"/>
          <w:sz w:val="32"/>
          <w:szCs w:val="32"/>
          <w:lang w:val="en-US" w:eastAsia="zh-CN"/>
        </w:rPr>
        <w:t>（三）公共服务设施和基础设施用地布局指引</w:t>
      </w:r>
    </w:p>
    <w:p w14:paraId="58BAADA1">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乡村公共服务设施应按照《社区生活圈规划技术指南》（TD/T 1062—2021）并结合村庄发展导向和公共利益需求配置，各类服务要素选址应遵循方便村民、适度集中的原则，可结合乡村生产生活及出行休闲习惯统筹布局，充分利用现有空间，推动设施共建共享和复合利用，提高土地集约节约利用水平。</w:t>
      </w:r>
    </w:p>
    <w:p w14:paraId="4BA7E28A">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both"/>
        <w:textAlignment w:val="auto"/>
        <w:rPr>
          <w:rFonts w:hint="default"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乡村基础设施应充分考虑地形地貌、防灾减灾、邻避距离等要素合理布局，在满足功能需求的前提下减少对环境和生活的影响。各类设施用地应符合国家和地方相关行业标准的规定。</w:t>
      </w:r>
    </w:p>
    <w:p w14:paraId="2E4CBE73">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3" w:firstLineChars="200"/>
        <w:jc w:val="both"/>
        <w:textAlignment w:val="auto"/>
        <w:rPr>
          <w:rFonts w:hint="default" w:ascii="楷体_GB2312" w:hAnsi="楷体_GB2312" w:eastAsia="楷体_GB2312" w:cs="楷体_GB2312"/>
          <w:b/>
          <w:bCs/>
          <w:color w:val="auto"/>
          <w:spacing w:val="0"/>
          <w:w w:val="100"/>
          <w:position w:val="0"/>
          <w:sz w:val="32"/>
          <w:szCs w:val="32"/>
          <w:lang w:val="en-US" w:eastAsia="zh-CN"/>
        </w:rPr>
      </w:pPr>
      <w:r>
        <w:rPr>
          <w:rFonts w:hint="eastAsia" w:ascii="楷体_GB2312" w:hAnsi="楷体_GB2312" w:eastAsia="楷体_GB2312" w:cs="楷体_GB2312"/>
          <w:b/>
          <w:bCs/>
          <w:color w:val="auto"/>
          <w:spacing w:val="0"/>
          <w:w w:val="100"/>
          <w:position w:val="0"/>
          <w:sz w:val="32"/>
          <w:szCs w:val="32"/>
          <w:lang w:val="en-US" w:eastAsia="zh-CN"/>
        </w:rPr>
        <w:t>（四）乡村产业用地布局指引</w:t>
      </w:r>
    </w:p>
    <w:p w14:paraId="396EA09F">
      <w:pPr>
        <w:pStyle w:val="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jc w:val="both"/>
        <w:textAlignment w:val="auto"/>
        <w:rPr>
          <w:rFonts w:hint="default"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 xml:space="preserve">    乡村产业项目选址应当综合考虑村庄资源禀赋、现状交通基础、基础设施接入条件、形态管控等要求，因地制宜，统筹布局。具体项目需符合《自然资源部 国家发展改革委 农业农村部关于保障和规范农村一二三产融合发展用地的通知》（自然资发</w:t>
      </w:r>
      <w:r>
        <w:rPr>
          <w:rFonts w:hint="eastAsia" w:ascii="仿宋_GB2312" w:hAnsi="仿宋_GB2312" w:eastAsia="仿宋_GB2312" w:cs="仿宋_GB2312"/>
          <w:sz w:val="32"/>
          <w:szCs w:val="32"/>
          <w:lang w:val="en-US" w:eastAsia="zh-CN"/>
        </w:rPr>
        <w:t>〔2021〕</w:t>
      </w:r>
      <w:r>
        <w:rPr>
          <w:rFonts w:hint="eastAsia" w:ascii="仿宋_GB2312" w:hAnsi="仿宋_GB2312" w:eastAsia="仿宋_GB2312" w:cs="仿宋_GB2312"/>
          <w:b w:val="0"/>
          <w:bCs w:val="0"/>
          <w:color w:val="000000"/>
          <w:spacing w:val="0"/>
          <w:w w:val="100"/>
          <w:position w:val="0"/>
          <w:sz w:val="32"/>
          <w:szCs w:val="32"/>
          <w:lang w:val="en-US" w:eastAsia="zh-CN"/>
        </w:rPr>
        <w:t>16号）文件要求。具体产业用地需符合《山西省产业用地政策实施工作指引》。</w:t>
      </w:r>
    </w:p>
    <w:p w14:paraId="18B31D65">
      <w:pPr>
        <w:pStyle w:val="9"/>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0"/>
          <w:w w:val="100"/>
          <w:position w:val="0"/>
          <w:sz w:val="32"/>
          <w:szCs w:val="32"/>
          <w:lang w:val="en-US" w:eastAsia="zh-CN"/>
        </w:rPr>
        <w:t>六、</w:t>
      </w:r>
      <w:r>
        <w:rPr>
          <w:rFonts w:hint="eastAsia" w:ascii="黑体" w:hAnsi="黑体" w:eastAsia="黑体" w:cs="黑体"/>
          <w:b w:val="0"/>
          <w:bCs w:val="0"/>
          <w:color w:val="000000"/>
          <w:spacing w:val="0"/>
          <w:w w:val="100"/>
          <w:position w:val="0"/>
          <w:sz w:val="32"/>
          <w:szCs w:val="32"/>
        </w:rPr>
        <w:t>开发强度</w:t>
      </w:r>
    </w:p>
    <w:p w14:paraId="4D5897F2">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b w:val="0"/>
          <w:bCs w:val="0"/>
          <w:color w:val="000000"/>
          <w:spacing w:val="0"/>
          <w:w w:val="100"/>
          <w:position w:val="0"/>
          <w:sz w:val="32"/>
          <w:szCs w:val="32"/>
          <w:lang w:eastAsia="zh-CN"/>
        </w:rPr>
      </w:pPr>
      <w:r>
        <w:rPr>
          <w:rFonts w:hint="eastAsia" w:ascii="仿宋_GB2312" w:hAnsi="仿宋_GB2312" w:eastAsia="仿宋_GB2312" w:cs="仿宋_GB2312"/>
          <w:b w:val="0"/>
          <w:bCs w:val="0"/>
          <w:color w:val="000000"/>
          <w:spacing w:val="0"/>
          <w:w w:val="100"/>
          <w:position w:val="0"/>
          <w:sz w:val="32"/>
          <w:szCs w:val="32"/>
          <w:lang w:eastAsia="zh-CN"/>
        </w:rPr>
        <w:t>陵川</w:t>
      </w:r>
      <w:r>
        <w:rPr>
          <w:rFonts w:hint="eastAsia" w:ascii="仿宋_GB2312" w:hAnsi="仿宋_GB2312" w:eastAsia="仿宋_GB2312" w:cs="仿宋_GB2312"/>
          <w:b w:val="0"/>
          <w:bCs w:val="0"/>
          <w:color w:val="000000"/>
          <w:spacing w:val="0"/>
          <w:w w:val="100"/>
          <w:position w:val="0"/>
          <w:sz w:val="32"/>
          <w:szCs w:val="32"/>
        </w:rPr>
        <w:t>县城镇开发边界外乡村建设用地开发强度应满足</w:t>
      </w:r>
      <w:r>
        <w:rPr>
          <w:rFonts w:hint="eastAsia" w:ascii="仿宋_GB2312" w:hAnsi="仿宋_GB2312" w:eastAsia="仿宋_GB2312" w:cs="仿宋_GB2312"/>
          <w:b w:val="0"/>
          <w:bCs w:val="0"/>
          <w:color w:val="000000"/>
          <w:spacing w:val="0"/>
          <w:w w:val="100"/>
          <w:position w:val="0"/>
          <w:sz w:val="32"/>
          <w:szCs w:val="32"/>
          <w:lang w:eastAsia="zh-CN"/>
        </w:rPr>
        <w:t>《陵川</w:t>
      </w:r>
      <w:r>
        <w:rPr>
          <w:rFonts w:hint="eastAsia" w:ascii="仿宋_GB2312" w:hAnsi="仿宋_GB2312" w:eastAsia="仿宋_GB2312" w:cs="仿宋_GB2312"/>
          <w:b w:val="0"/>
          <w:bCs w:val="0"/>
          <w:color w:val="000000"/>
          <w:spacing w:val="0"/>
          <w:w w:val="100"/>
          <w:position w:val="0"/>
          <w:sz w:val="32"/>
          <w:szCs w:val="32"/>
        </w:rPr>
        <w:t>县乡村建设用地通则式开发强度控制指标表</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rPr>
        <w:t>的相关规定要求。</w:t>
      </w:r>
      <w:r>
        <w:rPr>
          <w:rFonts w:hint="eastAsia" w:ascii="仿宋_GB2312" w:hAnsi="仿宋_GB2312" w:eastAsia="仿宋_GB2312" w:cs="仿宋_GB2312"/>
          <w:b w:val="0"/>
          <w:bCs w:val="0"/>
          <w:color w:val="000000"/>
          <w:spacing w:val="0"/>
          <w:w w:val="100"/>
          <w:position w:val="0"/>
          <w:sz w:val="32"/>
          <w:szCs w:val="32"/>
          <w:lang w:eastAsia="zh-CN"/>
        </w:rPr>
        <w:t>（</w:t>
      </w:r>
      <w:r>
        <w:rPr>
          <w:rFonts w:hint="eastAsia" w:ascii="仿宋_GB2312" w:hAnsi="仿宋_GB2312" w:eastAsia="仿宋_GB2312" w:cs="仿宋_GB2312"/>
          <w:b w:val="0"/>
          <w:bCs w:val="0"/>
          <w:color w:val="000000"/>
          <w:spacing w:val="0"/>
          <w:w w:val="100"/>
          <w:position w:val="0"/>
          <w:sz w:val="32"/>
          <w:szCs w:val="32"/>
          <w:lang w:val="en-US" w:eastAsia="zh-CN"/>
        </w:rPr>
        <w:t>详见附表</w:t>
      </w:r>
      <w:r>
        <w:rPr>
          <w:rFonts w:hint="eastAsia" w:ascii="仿宋_GB2312" w:hAnsi="仿宋_GB2312" w:eastAsia="仿宋_GB2312" w:cs="仿宋_GB2312"/>
          <w:b w:val="0"/>
          <w:bCs w:val="0"/>
          <w:color w:val="000000"/>
          <w:spacing w:val="0"/>
          <w:w w:val="100"/>
          <w:position w:val="0"/>
          <w:sz w:val="32"/>
          <w:szCs w:val="32"/>
          <w:lang w:eastAsia="zh-CN"/>
        </w:rPr>
        <w:t>）</w:t>
      </w:r>
    </w:p>
    <w:p w14:paraId="3196A3CD">
      <w:pPr>
        <w:pStyle w:val="9"/>
        <w:keepNext w:val="0"/>
        <w:keepLines w:val="0"/>
        <w:pageBreakBefore w:val="0"/>
        <w:widowControl w:val="0"/>
        <w:shd w:val="clear" w:color="auto" w:fill="auto"/>
        <w:tabs>
          <w:tab w:val="left" w:pos="811"/>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color w:val="000000"/>
          <w:spacing w:val="0"/>
          <w:w w:val="100"/>
          <w:position w:val="0"/>
          <w:sz w:val="32"/>
          <w:szCs w:val="32"/>
          <w:lang w:val="en-US" w:eastAsia="zh-CN"/>
        </w:rPr>
      </w:pPr>
      <w:bookmarkStart w:id="19" w:name="bookmark40"/>
      <w:bookmarkStart w:id="20" w:name="bookmark37"/>
      <w:bookmarkStart w:id="21" w:name="bookmark38"/>
      <w:r>
        <w:rPr>
          <w:rFonts w:hint="eastAsia" w:ascii="黑体" w:hAnsi="黑体" w:eastAsia="黑体" w:cs="黑体"/>
          <w:b w:val="0"/>
          <w:bCs w:val="0"/>
          <w:color w:val="000000"/>
          <w:spacing w:val="0"/>
          <w:w w:val="100"/>
          <w:position w:val="0"/>
          <w:sz w:val="32"/>
          <w:szCs w:val="32"/>
          <w:lang w:val="en-US" w:eastAsia="zh-CN"/>
        </w:rPr>
        <w:t>七、建设控制</w:t>
      </w:r>
      <w:bookmarkEnd w:id="19"/>
    </w:p>
    <w:p w14:paraId="6E224A09">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sz w:val="32"/>
          <w:szCs w:val="32"/>
        </w:rPr>
      </w:pPr>
      <w:bookmarkStart w:id="22" w:name="bookmark41"/>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一</w:t>
      </w: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rPr>
        <w:t>建筑间距</w:t>
      </w:r>
      <w:bookmarkEnd w:id="20"/>
      <w:bookmarkEnd w:id="21"/>
      <w:bookmarkEnd w:id="22"/>
    </w:p>
    <w:p w14:paraId="1AC61CD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城镇开发边界外乡村建设用地内的建筑间距</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应符合消防、环保、日照、空间景观、工程管线敷设和文物保护等方面的要求</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并符合</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农村防火规范</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(GB50039-2010)、</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建筑设计</w:t>
      </w:r>
      <w:r>
        <w:rPr>
          <w:rFonts w:hint="eastAsia" w:ascii="仿宋_GB2312" w:hAnsi="仿宋_GB2312" w:eastAsia="仿宋_GB2312" w:cs="仿宋_GB2312"/>
          <w:color w:val="000000"/>
          <w:spacing w:val="0"/>
          <w:w w:val="100"/>
          <w:position w:val="0"/>
          <w:sz w:val="32"/>
          <w:szCs w:val="32"/>
          <w:lang w:val="en-US" w:eastAsia="zh-CN"/>
        </w:rPr>
        <w:t>防</w:t>
      </w:r>
      <w:r>
        <w:rPr>
          <w:rFonts w:hint="eastAsia" w:ascii="仿宋_GB2312" w:hAnsi="仿宋_GB2312" w:eastAsia="仿宋_GB2312" w:cs="仿宋_GB2312"/>
          <w:color w:val="000000"/>
          <w:spacing w:val="0"/>
          <w:w w:val="100"/>
          <w:position w:val="0"/>
          <w:sz w:val="32"/>
          <w:szCs w:val="32"/>
        </w:rPr>
        <w:t>火规范</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(GB50016-2014)等相关规定。</w:t>
      </w:r>
    </w:p>
    <w:p w14:paraId="5D9627B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二</w:t>
      </w: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rPr>
        <w:t>建筑退</w:t>
      </w:r>
      <w:r>
        <w:rPr>
          <w:rFonts w:hint="eastAsia" w:ascii="楷体_GB2312" w:hAnsi="楷体_GB2312" w:eastAsia="楷体_GB2312" w:cs="楷体_GB2312"/>
          <w:b/>
          <w:bCs/>
          <w:color w:val="000000"/>
          <w:spacing w:val="0"/>
          <w:w w:val="100"/>
          <w:position w:val="0"/>
          <w:sz w:val="32"/>
          <w:szCs w:val="32"/>
          <w:lang w:val="en-US" w:eastAsia="zh-CN"/>
        </w:rPr>
        <w:t>让</w:t>
      </w:r>
    </w:p>
    <w:p w14:paraId="0284A93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沿建筑用地界线和沿</w:t>
      </w:r>
      <w:r>
        <w:rPr>
          <w:rFonts w:hint="eastAsia" w:ascii="仿宋_GB2312" w:hAnsi="仿宋_GB2312" w:eastAsia="仿宋_GB2312" w:cs="仿宋_GB2312"/>
          <w:color w:val="000000"/>
          <w:spacing w:val="0"/>
          <w:w w:val="100"/>
          <w:position w:val="0"/>
          <w:sz w:val="32"/>
          <w:szCs w:val="32"/>
          <w:lang w:val="en-US" w:eastAsia="zh-CN"/>
        </w:rPr>
        <w:t>乡村</w:t>
      </w:r>
      <w:r>
        <w:rPr>
          <w:rFonts w:hint="eastAsia" w:ascii="仿宋_GB2312" w:hAnsi="仿宋_GB2312" w:eastAsia="仿宋_GB2312" w:cs="仿宋_GB2312"/>
          <w:color w:val="000000"/>
          <w:spacing w:val="0"/>
          <w:w w:val="100"/>
          <w:position w:val="0"/>
          <w:sz w:val="32"/>
          <w:szCs w:val="32"/>
        </w:rPr>
        <w:t>道路、公路、河道、铁路、电力线路、工程管线布局的建筑物以及在文物保护单位、易燃易爆设施、城市基础设施周边布局的建筑物，其退让距离应符合消防、日照、环保、卫生、抗震、防洪、安全和文物保护等要求</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必要时还应征求相关部门意见。</w:t>
      </w:r>
    </w:p>
    <w:p w14:paraId="706DD96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同一建筑在建筑间距和建筑退让等多重控制要求的情况下原则上按最大的控制距离执行。</w:t>
      </w:r>
    </w:p>
    <w:p w14:paraId="2BF8493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1.建筑后退用地界线距离</w:t>
      </w:r>
    </w:p>
    <w:p w14:paraId="6F6FC79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default"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rPr>
        <w:t>建筑后退用地界线原则不低于3米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用地局限时，</w:t>
      </w:r>
      <w:r>
        <w:rPr>
          <w:rFonts w:hint="default" w:ascii="仿宋_GB2312" w:hAnsi="仿宋_GB2312" w:eastAsia="仿宋_GB2312" w:cs="仿宋_GB2312"/>
          <w:color w:val="000000"/>
          <w:spacing w:val="0"/>
          <w:w w:val="100"/>
          <w:position w:val="0"/>
          <w:sz w:val="32"/>
          <w:szCs w:val="32"/>
          <w:lang w:val="en-US" w:eastAsia="zh-CN"/>
        </w:rPr>
        <w:t>在</w:t>
      </w:r>
      <w:r>
        <w:rPr>
          <w:rFonts w:hint="eastAsia" w:ascii="仿宋_GB2312" w:hAnsi="仿宋_GB2312" w:eastAsia="仿宋_GB2312" w:cs="仿宋_GB2312"/>
          <w:color w:val="000000"/>
          <w:spacing w:val="0"/>
          <w:w w:val="100"/>
          <w:position w:val="0"/>
          <w:sz w:val="32"/>
          <w:szCs w:val="32"/>
          <w:lang w:val="en-US" w:eastAsia="zh-CN"/>
        </w:rPr>
        <w:t>满足消防、日照</w:t>
      </w:r>
      <w:r>
        <w:rPr>
          <w:rFonts w:hint="default" w:ascii="仿宋_GB2312" w:hAnsi="仿宋_GB2312" w:eastAsia="仿宋_GB2312" w:cs="仿宋_GB2312"/>
          <w:color w:val="000000"/>
          <w:spacing w:val="0"/>
          <w:w w:val="100"/>
          <w:position w:val="0"/>
          <w:sz w:val="32"/>
          <w:szCs w:val="32"/>
          <w:lang w:val="en-US" w:eastAsia="zh-CN"/>
        </w:rPr>
        <w:t>等要求的前提下，</w:t>
      </w:r>
      <w:r>
        <w:rPr>
          <w:rFonts w:hint="eastAsia" w:ascii="仿宋_GB2312" w:hAnsi="仿宋_GB2312" w:eastAsia="仿宋_GB2312" w:cs="仿宋_GB2312"/>
          <w:color w:val="000000"/>
          <w:spacing w:val="0"/>
          <w:w w:val="100"/>
          <w:position w:val="0"/>
          <w:sz w:val="32"/>
          <w:szCs w:val="32"/>
          <w:lang w:val="en-US" w:eastAsia="zh-CN"/>
        </w:rPr>
        <w:t>并经征得界外相邻用地单位同意，</w:t>
      </w:r>
      <w:r>
        <w:rPr>
          <w:rFonts w:hint="default" w:ascii="仿宋_GB2312" w:hAnsi="仿宋_GB2312" w:eastAsia="仿宋_GB2312" w:cs="仿宋_GB2312"/>
          <w:color w:val="000000"/>
          <w:spacing w:val="0"/>
          <w:w w:val="100"/>
          <w:position w:val="0"/>
          <w:sz w:val="32"/>
          <w:szCs w:val="32"/>
          <w:lang w:val="en-US" w:eastAsia="zh-CN"/>
        </w:rPr>
        <w:t>建筑后退用地</w:t>
      </w:r>
      <w:r>
        <w:rPr>
          <w:rFonts w:hint="eastAsia" w:ascii="仿宋_GB2312" w:hAnsi="仿宋_GB2312" w:eastAsia="仿宋_GB2312" w:cs="仿宋_GB2312"/>
          <w:color w:val="000000"/>
          <w:spacing w:val="0"/>
          <w:w w:val="100"/>
          <w:position w:val="0"/>
          <w:sz w:val="32"/>
          <w:szCs w:val="32"/>
          <w:lang w:val="en-US" w:eastAsia="zh-CN"/>
        </w:rPr>
        <w:t>界线距离</w:t>
      </w:r>
      <w:r>
        <w:rPr>
          <w:rFonts w:hint="default" w:ascii="仿宋_GB2312" w:hAnsi="仿宋_GB2312" w:eastAsia="仿宋_GB2312" w:cs="仿宋_GB2312"/>
          <w:color w:val="000000"/>
          <w:spacing w:val="0"/>
          <w:w w:val="100"/>
          <w:position w:val="0"/>
          <w:sz w:val="32"/>
          <w:szCs w:val="32"/>
          <w:lang w:val="en-US" w:eastAsia="zh-CN"/>
        </w:rPr>
        <w:t>可</w:t>
      </w:r>
      <w:r>
        <w:rPr>
          <w:rFonts w:hint="eastAsia" w:ascii="仿宋_GB2312" w:hAnsi="仿宋_GB2312" w:eastAsia="仿宋_GB2312" w:cs="仿宋_GB2312"/>
          <w:color w:val="000000"/>
          <w:spacing w:val="0"/>
          <w:w w:val="100"/>
          <w:position w:val="0"/>
          <w:sz w:val="32"/>
          <w:szCs w:val="32"/>
          <w:lang w:val="en-US" w:eastAsia="zh-CN"/>
        </w:rPr>
        <w:t>适当缩小</w:t>
      </w:r>
      <w:r>
        <w:rPr>
          <w:rFonts w:hint="default" w:ascii="仿宋_GB2312" w:hAnsi="仿宋_GB2312" w:eastAsia="仿宋_GB2312" w:cs="仿宋_GB2312"/>
          <w:color w:val="000000"/>
          <w:spacing w:val="0"/>
          <w:w w:val="100"/>
          <w:position w:val="0"/>
          <w:sz w:val="32"/>
          <w:szCs w:val="32"/>
          <w:lang w:val="en-US" w:eastAsia="zh-CN"/>
        </w:rPr>
        <w:t>。</w:t>
      </w:r>
    </w:p>
    <w:p w14:paraId="5D885B18">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default"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2.建筑后退公路距离</w:t>
      </w:r>
    </w:p>
    <w:p w14:paraId="5727411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除高速公路防护、养护需要的建筑以外，其它建筑后退高速公路边沟外缘的距离不得小于50米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后退匝道、高速公路连接线外缘的距离不得小于20米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后退收费站的距离不得小于50 米。</w:t>
      </w:r>
    </w:p>
    <w:p w14:paraId="71CD30E3">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根据《公路管理条例》规定，公路两侧建筑控制区范围从公路边沟外缘起</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国道不少于20米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省道不少于15米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县道不少于10米</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乡道不少于5米。</w:t>
      </w:r>
    </w:p>
    <w:p w14:paraId="1C700462">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建筑后退太行一号旅游公路从边沟外缘起距离不得少于10米。</w:t>
      </w:r>
    </w:p>
    <w:p w14:paraId="6E521CC3">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3.建筑退让村庄内部道路距离</w:t>
      </w:r>
    </w:p>
    <w:p w14:paraId="3F6F1C34">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村庄建筑、围墙距村庄内部支路的距离不应小于1米，距村庄内部干路的距离不应小于3米。临路方向后退距离如村内有约定的，按照约定退让距离执行</w:t>
      </w:r>
      <w:r>
        <w:rPr>
          <w:rFonts w:hint="default" w:ascii="仿宋_GB2312" w:hAnsi="仿宋_GB2312" w:eastAsia="仿宋_GB2312" w:cs="仿宋_GB2312"/>
          <w:color w:val="000000"/>
          <w:spacing w:val="0"/>
          <w:w w:val="100"/>
          <w:position w:val="0"/>
          <w:sz w:val="32"/>
          <w:szCs w:val="32"/>
          <w:lang w:val="en-US" w:eastAsia="zh-CN"/>
        </w:rPr>
        <w:t>。</w:t>
      </w:r>
      <w:r>
        <w:rPr>
          <w:rFonts w:hint="eastAsia" w:ascii="仿宋_GB2312" w:hAnsi="仿宋_GB2312" w:eastAsia="仿宋_GB2312" w:cs="仿宋_GB2312"/>
          <w:color w:val="000000"/>
          <w:spacing w:val="0"/>
          <w:w w:val="100"/>
          <w:position w:val="0"/>
          <w:sz w:val="32"/>
          <w:szCs w:val="32"/>
          <w:lang w:val="en-US" w:eastAsia="zh-CN"/>
        </w:rPr>
        <w:t>临路方向宜与同侧现状建筑外墙面边界齐平，保证沿路建筑的整齐美观。</w:t>
      </w:r>
    </w:p>
    <w:p w14:paraId="6EE873BF">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4.建筑后退高压架空电力线路距离</w:t>
      </w:r>
    </w:p>
    <w:p w14:paraId="1BA1F265">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建筑后退高压架空电力线路边导线的距离为：35kv、66kv、110kv电力线，不小于10米；220kv、330kv电力线，不小于15米；500kv电力线，不小于30米。用地局限时，建筑后退高压架空电力线路边导线的距离可适当缩小，但应符合在最大计算风偏情况下的安全距离要求。</w:t>
      </w:r>
    </w:p>
    <w:p w14:paraId="49C8F3B4">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firstLine="643" w:firstLineChars="200"/>
        <w:jc w:val="both"/>
        <w:textAlignment w:val="auto"/>
        <w:rPr>
          <w:rFonts w:hint="eastAsia" w:ascii="楷体_GB2312" w:hAnsi="楷体_GB2312" w:eastAsia="楷体_GB2312" w:cs="楷体_GB2312"/>
          <w:b/>
          <w:bCs/>
          <w:color w:val="000000"/>
          <w:spacing w:val="0"/>
          <w:w w:val="100"/>
          <w:position w:val="0"/>
          <w:sz w:val="32"/>
          <w:szCs w:val="32"/>
          <w:lang w:val="en-US" w:eastAsia="zh-CN"/>
        </w:rPr>
      </w:pPr>
      <w:r>
        <w:rPr>
          <w:rFonts w:hint="eastAsia" w:ascii="楷体_GB2312" w:hAnsi="楷体_GB2312" w:eastAsia="楷体_GB2312" w:cs="楷体_GB2312"/>
          <w:b/>
          <w:bCs/>
          <w:color w:val="000000"/>
          <w:spacing w:val="0"/>
          <w:w w:val="100"/>
          <w:position w:val="0"/>
          <w:sz w:val="32"/>
          <w:szCs w:val="32"/>
          <w:lang w:val="en-US" w:eastAsia="zh-CN"/>
        </w:rPr>
        <w:t>（三）建筑高度</w:t>
      </w:r>
    </w:p>
    <w:p w14:paraId="515412EA">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default"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rPr>
        <w:t>建筑物的高度应符合日照、消防、建筑间距</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乡村</w:t>
      </w:r>
      <w:r>
        <w:rPr>
          <w:rFonts w:hint="eastAsia" w:ascii="仿宋_GB2312" w:hAnsi="仿宋_GB2312" w:eastAsia="仿宋_GB2312" w:cs="仿宋_GB2312"/>
          <w:color w:val="000000"/>
          <w:spacing w:val="0"/>
          <w:w w:val="100"/>
          <w:position w:val="0"/>
          <w:sz w:val="32"/>
          <w:szCs w:val="32"/>
        </w:rPr>
        <w:t>景观、节地等方面的要求。</w:t>
      </w:r>
      <w:r>
        <w:rPr>
          <w:rFonts w:hint="eastAsia" w:ascii="仿宋_GB2312" w:hAnsi="仿宋_GB2312" w:eastAsia="仿宋_GB2312" w:cs="仿宋_GB2312"/>
          <w:color w:val="000000"/>
          <w:spacing w:val="0"/>
          <w:w w:val="100"/>
          <w:position w:val="0"/>
          <w:sz w:val="32"/>
          <w:szCs w:val="32"/>
          <w:lang w:val="en-US" w:eastAsia="zh-CN"/>
        </w:rPr>
        <w:t>村庄建设区范围内的</w:t>
      </w:r>
      <w:r>
        <w:rPr>
          <w:rFonts w:hint="eastAsia" w:ascii="仿宋_GB2312" w:hAnsi="仿宋_GB2312" w:eastAsia="仿宋_GB2312" w:cs="仿宋_GB2312"/>
          <w:color w:val="000000"/>
          <w:spacing w:val="0"/>
          <w:w w:val="100"/>
          <w:position w:val="0"/>
          <w:sz w:val="32"/>
          <w:szCs w:val="32"/>
        </w:rPr>
        <w:t>新建、扩建、改建各类建（构）筑物，</w:t>
      </w:r>
      <w:r>
        <w:rPr>
          <w:rFonts w:hint="eastAsia" w:ascii="仿宋_GB2312" w:hAnsi="仿宋_GB2312" w:eastAsia="仿宋_GB2312" w:cs="仿宋_GB2312"/>
          <w:color w:val="000000"/>
          <w:spacing w:val="0"/>
          <w:w w:val="100"/>
          <w:position w:val="0"/>
          <w:sz w:val="32"/>
          <w:szCs w:val="32"/>
          <w:lang w:val="en-US" w:eastAsia="zh-CN"/>
        </w:rPr>
        <w:t>原则上不宜超过三层；对村民进行集中安置的新村安置小区，公共服务设施、经营性设施可根据需求适当增加建筑高度，原则上不宜超过6层。</w:t>
      </w:r>
    </w:p>
    <w:p w14:paraId="5D5C4FD5">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val="en-US" w:eastAsia="zh-CN"/>
        </w:rPr>
        <w:t>在</w:t>
      </w:r>
      <w:r>
        <w:rPr>
          <w:rFonts w:hint="eastAsia" w:ascii="仿宋_GB2312" w:hAnsi="仿宋_GB2312" w:eastAsia="仿宋_GB2312" w:cs="仿宋_GB2312"/>
          <w:color w:val="000000"/>
          <w:spacing w:val="0"/>
          <w:w w:val="100"/>
          <w:position w:val="0"/>
          <w:sz w:val="32"/>
          <w:szCs w:val="32"/>
        </w:rPr>
        <w:t>各级文物保护建筑周围的建设控制地带内</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以及</w:t>
      </w:r>
      <w:r>
        <w:rPr>
          <w:rFonts w:hint="eastAsia" w:ascii="仿宋_GB2312" w:hAnsi="仿宋_GB2312" w:eastAsia="仿宋_GB2312" w:cs="仿宋_GB2312"/>
          <w:color w:val="000000"/>
          <w:spacing w:val="0"/>
          <w:w w:val="100"/>
          <w:position w:val="0"/>
          <w:sz w:val="32"/>
          <w:szCs w:val="32"/>
        </w:rPr>
        <w:t>与历史风貌建筑、风景名胜区相邻的新建、扩建、改建各类建（构）筑物，其建筑高度必须符合文物古迹和历史风貌建筑保护的有关规定，并按相关保护规划执行</w:t>
      </w:r>
      <w:r>
        <w:rPr>
          <w:rFonts w:hint="eastAsia" w:ascii="仿宋_GB2312" w:hAnsi="仿宋_GB2312" w:eastAsia="仿宋_GB2312" w:cs="仿宋_GB2312"/>
          <w:color w:val="000000"/>
          <w:spacing w:val="0"/>
          <w:w w:val="100"/>
          <w:position w:val="0"/>
          <w:sz w:val="32"/>
          <w:szCs w:val="32"/>
          <w:lang w:eastAsia="zh-CN"/>
        </w:rPr>
        <w:t>。</w:t>
      </w:r>
    </w:p>
    <w:p w14:paraId="652B8275">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eastAsia="zh-CN"/>
        </w:rPr>
        <w:t>在有净空高度限制的飞机场、气象台、微波通讯和其它无线电通讯设施周围（或廊道）建设的建（构）筑物，其高度应符合有关净空高度限制的规定。</w:t>
      </w:r>
    </w:p>
    <w:p w14:paraId="0FCD09A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color w:val="auto"/>
          <w:spacing w:val="0"/>
          <w:w w:val="100"/>
          <w:position w:val="0"/>
          <w:sz w:val="32"/>
          <w:szCs w:val="32"/>
          <w:lang w:val="en-US" w:eastAsia="zh-CN"/>
        </w:rPr>
      </w:pPr>
      <w:r>
        <w:rPr>
          <w:rFonts w:hint="eastAsia" w:ascii="黑体" w:hAnsi="黑体" w:eastAsia="黑体" w:cs="黑体"/>
          <w:b w:val="0"/>
          <w:bCs w:val="0"/>
          <w:color w:val="auto"/>
          <w:spacing w:val="0"/>
          <w:w w:val="100"/>
          <w:position w:val="0"/>
          <w:sz w:val="32"/>
          <w:szCs w:val="32"/>
          <w:lang w:val="en-US" w:eastAsia="zh-CN"/>
        </w:rPr>
        <w:t>八、景观风貌</w:t>
      </w:r>
    </w:p>
    <w:p w14:paraId="7B199507">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乡村建筑的造型应充分体现陵川县乡村地区民居特色，尊重山水格局，营造山水相依、淳朴整洁的乡村特色风貌。各乡镇可结合自身特征，融合传统文化，汲取乡土元素，鼓励就地取材，统一风貌管控，营造具有本地特色的村落空间。</w:t>
      </w:r>
    </w:p>
    <w:p w14:paraId="55C62270">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新建、改建、翻建乡村</w:t>
      </w:r>
      <w:r>
        <w:rPr>
          <w:rFonts w:hint="default" w:ascii="仿宋_GB2312" w:hAnsi="仿宋_GB2312" w:eastAsia="仿宋_GB2312" w:cs="仿宋_GB2312"/>
          <w:color w:val="000000"/>
          <w:spacing w:val="0"/>
          <w:w w:val="100"/>
          <w:position w:val="0"/>
          <w:sz w:val="32"/>
          <w:szCs w:val="32"/>
          <w:lang w:val="en-US" w:eastAsia="zh-CN"/>
        </w:rPr>
        <w:t>建筑</w:t>
      </w:r>
      <w:r>
        <w:rPr>
          <w:rFonts w:hint="eastAsia" w:ascii="仿宋_GB2312" w:hAnsi="仿宋_GB2312" w:eastAsia="仿宋_GB2312" w:cs="仿宋_GB2312"/>
          <w:color w:val="000000"/>
          <w:spacing w:val="0"/>
          <w:w w:val="100"/>
          <w:position w:val="0"/>
          <w:sz w:val="32"/>
          <w:szCs w:val="32"/>
          <w:lang w:val="en-US" w:eastAsia="zh-CN"/>
        </w:rPr>
        <w:t>宜采用自然乡土的手法，在空间肌理、高度形态、色彩材质、屋顶立面等方面传承地方特色，注重与自然景观相协调。建筑形体尺度宜适当均衡，平面布局宜相对规整，</w:t>
      </w:r>
      <w:r>
        <w:rPr>
          <w:rFonts w:hint="default" w:ascii="仿宋_GB2312" w:hAnsi="仿宋_GB2312" w:eastAsia="仿宋_GB2312" w:cs="仿宋_GB2312"/>
          <w:color w:val="000000"/>
          <w:spacing w:val="0"/>
          <w:w w:val="100"/>
          <w:position w:val="0"/>
          <w:sz w:val="32"/>
          <w:szCs w:val="32"/>
          <w:lang w:val="en-US" w:eastAsia="zh-CN"/>
        </w:rPr>
        <w:t>建筑立面</w:t>
      </w:r>
      <w:r>
        <w:rPr>
          <w:rFonts w:hint="eastAsia" w:ascii="仿宋_GB2312" w:hAnsi="仿宋_GB2312" w:eastAsia="仿宋_GB2312" w:cs="仿宋_GB2312"/>
          <w:color w:val="000000"/>
          <w:spacing w:val="0"/>
          <w:w w:val="100"/>
          <w:position w:val="0"/>
          <w:sz w:val="32"/>
          <w:szCs w:val="32"/>
          <w:lang w:val="en-US" w:eastAsia="zh-CN"/>
        </w:rPr>
        <w:t>色彩宜与周边环境和田园风光相协调，不宜突兀，</w:t>
      </w:r>
      <w:r>
        <w:rPr>
          <w:rFonts w:hint="default" w:ascii="仿宋_GB2312" w:hAnsi="仿宋_GB2312" w:eastAsia="仿宋_GB2312" w:cs="仿宋_GB2312"/>
          <w:color w:val="000000"/>
          <w:spacing w:val="0"/>
          <w:w w:val="100"/>
          <w:position w:val="0"/>
          <w:sz w:val="32"/>
          <w:szCs w:val="32"/>
          <w:lang w:val="en-US" w:eastAsia="zh-CN"/>
        </w:rPr>
        <w:t>屋面</w:t>
      </w:r>
      <w:r>
        <w:rPr>
          <w:rFonts w:hint="eastAsia" w:ascii="仿宋_GB2312" w:hAnsi="仿宋_GB2312" w:eastAsia="仿宋_GB2312" w:cs="仿宋_GB2312"/>
          <w:color w:val="000000"/>
          <w:spacing w:val="0"/>
          <w:w w:val="100"/>
          <w:position w:val="0"/>
          <w:sz w:val="32"/>
          <w:szCs w:val="32"/>
          <w:lang w:val="en-US" w:eastAsia="zh-CN"/>
        </w:rPr>
        <w:t>宜采用坡屋顶或</w:t>
      </w:r>
      <w:r>
        <w:rPr>
          <w:rFonts w:hint="default" w:ascii="仿宋_GB2312" w:hAnsi="仿宋_GB2312" w:eastAsia="仿宋_GB2312" w:cs="仿宋_GB2312"/>
          <w:color w:val="000000"/>
          <w:spacing w:val="0"/>
          <w:w w:val="100"/>
          <w:position w:val="0"/>
          <w:sz w:val="32"/>
          <w:szCs w:val="32"/>
          <w:lang w:val="en-US" w:eastAsia="zh-CN"/>
        </w:rPr>
        <w:t>以坡屋顶为主</w:t>
      </w:r>
      <w:r>
        <w:rPr>
          <w:rFonts w:hint="eastAsia" w:ascii="仿宋_GB2312" w:hAnsi="仿宋_GB2312" w:eastAsia="仿宋_GB2312" w:cs="仿宋_GB2312"/>
          <w:color w:val="000000"/>
          <w:spacing w:val="0"/>
          <w:w w:val="100"/>
          <w:position w:val="0"/>
          <w:sz w:val="32"/>
          <w:szCs w:val="32"/>
          <w:lang w:val="en-US" w:eastAsia="zh-CN"/>
        </w:rPr>
        <w:t>、局部平顶相结合的形式。</w:t>
      </w:r>
    </w:p>
    <w:p w14:paraId="24266F5A">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rPr>
        <w:t>在文物保护单位建设控制区内修建</w:t>
      </w:r>
      <w:r>
        <w:rPr>
          <w:rFonts w:hint="eastAsia" w:ascii="仿宋_GB2312" w:hAnsi="仿宋_GB2312" w:eastAsia="仿宋_GB2312" w:cs="仿宋_GB2312"/>
          <w:color w:val="000000"/>
          <w:spacing w:val="0"/>
          <w:w w:val="100"/>
          <w:position w:val="0"/>
          <w:sz w:val="32"/>
          <w:szCs w:val="32"/>
          <w:lang w:val="en-US" w:eastAsia="zh-CN"/>
        </w:rPr>
        <w:t>新建</w:t>
      </w:r>
      <w:r>
        <w:rPr>
          <w:rFonts w:hint="eastAsia" w:ascii="仿宋_GB2312" w:hAnsi="仿宋_GB2312" w:eastAsia="仿宋_GB2312" w:cs="仿宋_GB2312"/>
          <w:color w:val="000000"/>
          <w:spacing w:val="0"/>
          <w:w w:val="100"/>
          <w:position w:val="0"/>
          <w:sz w:val="32"/>
          <w:szCs w:val="32"/>
        </w:rPr>
        <w:t>筑和构筑物，</w:t>
      </w:r>
      <w:r>
        <w:rPr>
          <w:rFonts w:hint="eastAsia" w:ascii="仿宋_GB2312" w:hAnsi="仿宋_GB2312" w:eastAsia="仿宋_GB2312" w:cs="仿宋_GB2312"/>
          <w:color w:val="000000"/>
          <w:spacing w:val="0"/>
          <w:w w:val="100"/>
          <w:position w:val="0"/>
          <w:sz w:val="32"/>
          <w:szCs w:val="32"/>
          <w:lang w:val="en-US" w:eastAsia="zh-CN"/>
        </w:rPr>
        <w:t>应征求县文物部门意见</w:t>
      </w:r>
      <w:r>
        <w:rPr>
          <w:rFonts w:hint="eastAsia" w:ascii="仿宋_GB2312" w:hAnsi="仿宋_GB2312" w:eastAsia="仿宋_GB2312" w:cs="仿宋_GB2312"/>
          <w:color w:val="000000"/>
          <w:spacing w:val="0"/>
          <w:w w:val="100"/>
          <w:position w:val="0"/>
          <w:sz w:val="32"/>
          <w:szCs w:val="32"/>
        </w:rPr>
        <w:t>。</w:t>
      </w:r>
    </w:p>
    <w:p w14:paraId="760D6DD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color w:val="000000"/>
          <w:spacing w:val="0"/>
          <w:w w:val="100"/>
          <w:position w:val="0"/>
          <w:sz w:val="32"/>
          <w:szCs w:val="32"/>
        </w:rPr>
        <w:t>九、交通设施</w:t>
      </w:r>
    </w:p>
    <w:p w14:paraId="2397AD0C">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lang w:val="en-US" w:eastAsia="zh-CN"/>
        </w:rPr>
        <w:t>一</w:t>
      </w:r>
      <w:r>
        <w:rPr>
          <w:rFonts w:hint="eastAsia" w:ascii="楷体_GB2312" w:hAnsi="楷体_GB2312" w:eastAsia="楷体_GB2312" w:cs="楷体_GB2312"/>
          <w:b/>
          <w:bCs/>
          <w:color w:val="000000"/>
          <w:spacing w:val="0"/>
          <w:w w:val="100"/>
          <w:position w:val="0"/>
          <w:sz w:val="32"/>
          <w:szCs w:val="32"/>
          <w:lang w:eastAsia="zh-CN"/>
        </w:rPr>
        <w:t>）</w:t>
      </w:r>
      <w:r>
        <w:rPr>
          <w:rFonts w:hint="eastAsia" w:ascii="楷体_GB2312" w:hAnsi="楷体_GB2312" w:eastAsia="楷体_GB2312" w:cs="楷体_GB2312"/>
          <w:b/>
          <w:bCs/>
          <w:color w:val="000000"/>
          <w:spacing w:val="0"/>
          <w:w w:val="100"/>
          <w:position w:val="0"/>
          <w:sz w:val="32"/>
          <w:szCs w:val="32"/>
        </w:rPr>
        <w:t>村庄道路</w:t>
      </w:r>
    </w:p>
    <w:p w14:paraId="556075F4">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rPr>
      </w:pPr>
      <w:r>
        <w:rPr>
          <w:rFonts w:hint="eastAsia" w:ascii="仿宋_GB2312" w:hAnsi="仿宋_GB2312" w:eastAsia="仿宋_GB2312" w:cs="仿宋_GB2312"/>
          <w:color w:val="000000"/>
          <w:spacing w:val="0"/>
          <w:w w:val="100"/>
          <w:position w:val="0"/>
          <w:sz w:val="32"/>
          <w:szCs w:val="32"/>
          <w:lang w:val="en-US" w:eastAsia="zh-CN"/>
        </w:rPr>
        <w:t>1.</w:t>
      </w:r>
      <w:r>
        <w:rPr>
          <w:rFonts w:hint="eastAsia" w:ascii="仿宋_GB2312" w:hAnsi="仿宋_GB2312" w:eastAsia="仿宋_GB2312" w:cs="仿宋_GB2312"/>
          <w:color w:val="000000"/>
          <w:spacing w:val="0"/>
          <w:w w:val="100"/>
          <w:position w:val="0"/>
          <w:sz w:val="32"/>
          <w:szCs w:val="32"/>
        </w:rPr>
        <w:t>根据村庄道路在路网中的</w:t>
      </w:r>
      <w:r>
        <w:rPr>
          <w:rFonts w:hint="eastAsia" w:ascii="仿宋_GB2312" w:hAnsi="仿宋_GB2312" w:eastAsia="仿宋_GB2312" w:cs="仿宋_GB2312"/>
          <w:color w:val="000000"/>
          <w:spacing w:val="0"/>
          <w:w w:val="100"/>
          <w:position w:val="0"/>
          <w:sz w:val="32"/>
          <w:szCs w:val="32"/>
          <w:lang w:val="en-US" w:eastAsia="zh-CN"/>
        </w:rPr>
        <w:t>地位、</w:t>
      </w:r>
      <w:r>
        <w:rPr>
          <w:rFonts w:hint="eastAsia" w:ascii="仿宋_GB2312" w:hAnsi="仿宋_GB2312" w:eastAsia="仿宋_GB2312" w:cs="仿宋_GB2312"/>
          <w:color w:val="000000"/>
          <w:spacing w:val="0"/>
          <w:w w:val="100"/>
          <w:position w:val="0"/>
          <w:sz w:val="32"/>
          <w:szCs w:val="32"/>
        </w:rPr>
        <w:t>交通功能及对沿线居民的服务功能,分为干路、支路和巷道三级。</w:t>
      </w:r>
    </w:p>
    <w:p w14:paraId="1853D7AA">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default"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2.村庄道路红线内可包含机动车道、非机动车道、人行道、设施带、绿化、路肩、边沟等设施。</w:t>
      </w:r>
    </w:p>
    <w:p w14:paraId="333936AC">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3.</w:t>
      </w:r>
      <w:r>
        <w:rPr>
          <w:rFonts w:hint="eastAsia" w:ascii="仿宋_GB2312" w:hAnsi="仿宋_GB2312" w:eastAsia="仿宋_GB2312" w:cs="仿宋_GB2312"/>
          <w:color w:val="000000"/>
          <w:spacing w:val="0"/>
          <w:w w:val="100"/>
          <w:position w:val="0"/>
          <w:sz w:val="32"/>
          <w:szCs w:val="32"/>
        </w:rPr>
        <w:t>村庄道路宽度应</w:t>
      </w:r>
      <w:r>
        <w:rPr>
          <w:rFonts w:hint="eastAsia" w:ascii="仿宋_GB2312" w:hAnsi="仿宋_GB2312" w:eastAsia="仿宋_GB2312" w:cs="仿宋_GB2312"/>
          <w:color w:val="000000"/>
          <w:spacing w:val="0"/>
          <w:w w:val="100"/>
          <w:position w:val="0"/>
          <w:sz w:val="32"/>
          <w:szCs w:val="32"/>
          <w:lang w:val="en-US" w:eastAsia="zh-CN"/>
        </w:rPr>
        <w:t>满足通行能力要求，应协调道路宽度与两侧建筑高度的比例，形成适宜的围合空间。</w:t>
      </w:r>
    </w:p>
    <w:p w14:paraId="066C4158">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eastAsia="zh-CN"/>
        </w:rPr>
      </w:pPr>
      <w:r>
        <w:rPr>
          <w:rFonts w:hint="eastAsia" w:ascii="仿宋_GB2312" w:hAnsi="仿宋_GB2312" w:eastAsia="仿宋_GB2312" w:cs="仿宋_GB2312"/>
          <w:color w:val="000000"/>
          <w:spacing w:val="0"/>
          <w:w w:val="100"/>
          <w:position w:val="0"/>
          <w:sz w:val="32"/>
          <w:szCs w:val="32"/>
          <w:lang w:val="en-US" w:eastAsia="zh-CN"/>
        </w:rPr>
        <w:t>4.</w:t>
      </w:r>
      <w:r>
        <w:rPr>
          <w:rFonts w:hint="eastAsia" w:ascii="仿宋_GB2312" w:hAnsi="仿宋_GB2312" w:eastAsia="仿宋_GB2312" w:cs="仿宋_GB2312"/>
          <w:color w:val="000000"/>
          <w:spacing w:val="0"/>
          <w:w w:val="100"/>
          <w:position w:val="0"/>
          <w:sz w:val="32"/>
          <w:szCs w:val="32"/>
        </w:rPr>
        <w:t>干路</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支路</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主要交叉路口等</w:t>
      </w:r>
      <w:r>
        <w:rPr>
          <w:rFonts w:hint="eastAsia" w:ascii="仿宋_GB2312" w:hAnsi="仿宋_GB2312" w:eastAsia="仿宋_GB2312" w:cs="仿宋_GB2312"/>
          <w:color w:val="000000"/>
          <w:spacing w:val="0"/>
          <w:w w:val="100"/>
          <w:position w:val="0"/>
          <w:sz w:val="32"/>
          <w:szCs w:val="32"/>
        </w:rPr>
        <w:t>应设置路灯和必要的指示牌</w:t>
      </w:r>
      <w:r>
        <w:rPr>
          <w:rFonts w:hint="eastAsia" w:ascii="仿宋_GB2312" w:hAnsi="仿宋_GB2312" w:eastAsia="仿宋_GB2312" w:cs="仿宋_GB2312"/>
          <w:color w:val="000000"/>
          <w:spacing w:val="0"/>
          <w:w w:val="100"/>
          <w:position w:val="0"/>
          <w:sz w:val="32"/>
          <w:szCs w:val="32"/>
          <w:lang w:eastAsia="zh-CN"/>
        </w:rPr>
        <w:t>。</w:t>
      </w:r>
    </w:p>
    <w:p w14:paraId="038EA2F7">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5.村庄道路应考虑消防车的通行需要，供消防车通行的道路宜纵横相连，车道净宽不宜小于4米，需满足配置车型的转弯半径。</w:t>
      </w:r>
    </w:p>
    <w:p w14:paraId="2F394086">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3" w:firstLineChars="200"/>
        <w:jc w:val="both"/>
        <w:textAlignment w:val="auto"/>
        <w:rPr>
          <w:rFonts w:hint="eastAsia" w:ascii="楷体_GB2312" w:hAnsi="楷体_GB2312" w:eastAsia="楷体_GB2312" w:cs="楷体_GB2312"/>
          <w:b/>
          <w:bCs/>
          <w:color w:val="000000"/>
          <w:spacing w:val="0"/>
          <w:w w:val="100"/>
          <w:position w:val="0"/>
          <w:sz w:val="32"/>
          <w:szCs w:val="32"/>
          <w:lang w:eastAsia="zh-CN"/>
        </w:rPr>
      </w:pPr>
      <w:r>
        <w:rPr>
          <w:rFonts w:hint="eastAsia" w:ascii="楷体_GB2312" w:hAnsi="楷体_GB2312" w:eastAsia="楷体_GB2312" w:cs="楷体_GB2312"/>
          <w:b/>
          <w:bCs/>
          <w:color w:val="000000"/>
          <w:spacing w:val="0"/>
          <w:w w:val="100"/>
          <w:position w:val="0"/>
          <w:sz w:val="32"/>
          <w:szCs w:val="32"/>
          <w:lang w:eastAsia="zh-CN"/>
        </w:rPr>
        <w:t>（二）公共停车场</w:t>
      </w:r>
    </w:p>
    <w:p w14:paraId="62CC7291">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楷体_GB2312" w:hAnsi="楷体_GB2312" w:eastAsia="楷体_GB2312" w:cs="楷体_GB2312"/>
          <w:b/>
          <w:bCs/>
          <w:color w:val="000000"/>
          <w:spacing w:val="0"/>
          <w:w w:val="100"/>
          <w:position w:val="0"/>
          <w:sz w:val="32"/>
          <w:szCs w:val="32"/>
          <w:lang w:val="en-US" w:eastAsia="zh-CN"/>
        </w:rPr>
      </w:pPr>
      <w:r>
        <w:rPr>
          <w:rFonts w:hint="eastAsia" w:ascii="仿宋_GB2312" w:hAnsi="仿宋_GB2312" w:eastAsia="仿宋_GB2312" w:cs="仿宋_GB2312"/>
          <w:color w:val="000000"/>
          <w:spacing w:val="0"/>
          <w:w w:val="100"/>
          <w:position w:val="0"/>
          <w:sz w:val="32"/>
          <w:szCs w:val="32"/>
          <w:lang w:val="en-US" w:eastAsia="zh-CN"/>
        </w:rPr>
        <w:t>村庄停车设施应根据村庄的实际停车需求适度建设公共停车场。本规定各类用地配建停车位参照《晋城市城乡规划管理技术规定》附表二建设项目停车位配建控制指标表进行控制。</w:t>
      </w:r>
      <w:r>
        <w:rPr>
          <w:rFonts w:hint="eastAsia" w:ascii="仿宋_GB2312" w:hAnsi="仿宋_GB2312" w:eastAsia="仿宋_GB2312" w:cs="仿宋_GB2312"/>
          <w:color w:val="000000"/>
          <w:spacing w:val="0"/>
          <w:w w:val="100"/>
          <w:position w:val="0"/>
          <w:sz w:val="32"/>
          <w:szCs w:val="32"/>
        </w:rPr>
        <w:t>相关设施设置还应符合</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无障碍设计规范</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城镇公共停车场(库)工程建设标准</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电动汽车充电基础设施技术标准</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等相关规定</w:t>
      </w:r>
      <w:r>
        <w:rPr>
          <w:rFonts w:hint="eastAsia" w:ascii="仿宋_GB2312" w:hAnsi="仿宋_GB2312" w:eastAsia="仿宋_GB2312" w:cs="仿宋_GB2312"/>
          <w:color w:val="000000"/>
          <w:spacing w:val="0"/>
          <w:w w:val="100"/>
          <w:position w:val="0"/>
          <w:sz w:val="32"/>
          <w:szCs w:val="32"/>
          <w:lang w:eastAsia="zh-CN"/>
        </w:rPr>
        <w:t>。</w:t>
      </w:r>
    </w:p>
    <w:p w14:paraId="59D84E0B">
      <w:pPr>
        <w:pStyle w:val="8"/>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sz w:val="32"/>
          <w:szCs w:val="32"/>
        </w:rPr>
      </w:pPr>
      <w:bookmarkStart w:id="23" w:name="bookmark48"/>
      <w:bookmarkStart w:id="24" w:name="bookmark50"/>
      <w:bookmarkStart w:id="25" w:name="bookmark49"/>
      <w:r>
        <w:rPr>
          <w:rFonts w:hint="eastAsia" w:ascii="黑体" w:hAnsi="黑体" w:eastAsia="黑体" w:cs="黑体"/>
          <w:b w:val="0"/>
          <w:bCs w:val="0"/>
          <w:color w:val="000000"/>
          <w:spacing w:val="0"/>
          <w:w w:val="100"/>
          <w:position w:val="0"/>
          <w:sz w:val="32"/>
          <w:szCs w:val="32"/>
        </w:rPr>
        <w:t>十、安全防控</w:t>
      </w:r>
      <w:bookmarkEnd w:id="23"/>
      <w:bookmarkEnd w:id="24"/>
      <w:bookmarkEnd w:id="25"/>
    </w:p>
    <w:p w14:paraId="66AF938C">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村庄建设原则上应避让各类地质灾害隐患危险地段</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无法避免的</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应按照具体的地质灾害分区防控要求</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lang w:val="en-US" w:eastAsia="zh-CN"/>
        </w:rPr>
        <w:t>采</w:t>
      </w:r>
      <w:r>
        <w:rPr>
          <w:rFonts w:hint="eastAsia" w:ascii="仿宋_GB2312" w:hAnsi="仿宋_GB2312" w:eastAsia="仿宋_GB2312" w:cs="仿宋_GB2312"/>
          <w:color w:val="000000"/>
          <w:spacing w:val="0"/>
          <w:w w:val="100"/>
          <w:position w:val="0"/>
          <w:sz w:val="32"/>
          <w:szCs w:val="32"/>
        </w:rPr>
        <w:t>取针对性的防治措施。村庄建设还应符合消防、抗震、防洪、防涝等安全防护要求。</w:t>
      </w:r>
    </w:p>
    <w:p w14:paraId="7B685392">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黑体" w:hAnsi="黑体" w:eastAsia="黑体" w:cs="黑体"/>
          <w:b w:val="0"/>
          <w:bCs w:val="0"/>
          <w:color w:val="000000"/>
          <w:spacing w:val="0"/>
          <w:w w:val="100"/>
          <w:position w:val="0"/>
          <w:sz w:val="32"/>
          <w:szCs w:val="32"/>
        </w:rPr>
      </w:pPr>
      <w:r>
        <w:rPr>
          <w:rFonts w:hint="eastAsia" w:ascii="黑体" w:hAnsi="黑体" w:eastAsia="黑体" w:cs="黑体"/>
          <w:b w:val="0"/>
          <w:bCs w:val="0"/>
          <w:color w:val="000000"/>
          <w:spacing w:val="0"/>
          <w:w w:val="100"/>
          <w:position w:val="0"/>
          <w:sz w:val="32"/>
          <w:szCs w:val="32"/>
          <w:lang w:val="en-US" w:eastAsia="zh-CN"/>
        </w:rPr>
        <w:t>十一</w:t>
      </w:r>
      <w:r>
        <w:rPr>
          <w:rFonts w:hint="eastAsia" w:ascii="黑体" w:hAnsi="黑体" w:eastAsia="黑体" w:cs="黑体"/>
          <w:b w:val="0"/>
          <w:bCs w:val="0"/>
          <w:color w:val="000000"/>
          <w:spacing w:val="0"/>
          <w:w w:val="100"/>
          <w:position w:val="0"/>
          <w:sz w:val="32"/>
          <w:szCs w:val="32"/>
        </w:rPr>
        <w:t>、解释说明</w:t>
      </w:r>
      <w:bookmarkStart w:id="26" w:name="bookmark51"/>
    </w:p>
    <w:p w14:paraId="4AC3080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rPr>
        <w:t>1</w:t>
      </w:r>
      <w:bookmarkEnd w:id="26"/>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本规定自印发之日起试行。</w:t>
      </w:r>
    </w:p>
    <w:p w14:paraId="22F50F1B">
      <w:pPr>
        <w:pStyle w:val="9"/>
        <w:keepNext w:val="0"/>
        <w:keepLines w:val="0"/>
        <w:pageBreakBefore w:val="0"/>
        <w:widowControl w:val="0"/>
        <w:shd w:val="clear" w:color="auto" w:fill="auto"/>
        <w:tabs>
          <w:tab w:val="left" w:pos="690"/>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val="en-US" w:eastAsia="zh-CN"/>
        </w:rPr>
        <w:t>2.</w:t>
      </w:r>
      <w:r>
        <w:rPr>
          <w:rFonts w:hint="eastAsia" w:ascii="仿宋_GB2312" w:hAnsi="仿宋_GB2312" w:eastAsia="仿宋_GB2312" w:cs="仿宋_GB2312"/>
          <w:color w:val="000000"/>
          <w:spacing w:val="0"/>
          <w:w w:val="100"/>
          <w:position w:val="0"/>
          <w:sz w:val="32"/>
          <w:szCs w:val="32"/>
        </w:rPr>
        <w:t>本规定最终解释权归县自然资源局</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在本规定实施过程中</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如果遇到与国家新发布的法律法规、政策标准存在冲突的</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或有需要调整的其他情形</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由县自然资源局按规定程序进行相应的调整或修订。本规定未涉及的内容按国家和省市有关规范、标准执行。</w:t>
      </w:r>
    </w:p>
    <w:p w14:paraId="6EBB3610">
      <w:pPr>
        <w:pStyle w:val="9"/>
        <w:keepNext w:val="0"/>
        <w:keepLines w:val="0"/>
        <w:pageBreakBefore w:val="0"/>
        <w:widowControl w:val="0"/>
        <w:shd w:val="clear" w:color="auto" w:fill="auto"/>
        <w:tabs>
          <w:tab w:val="left" w:pos="694"/>
        </w:tabs>
        <w:kinsoku/>
        <w:wordWrap/>
        <w:overflowPunct/>
        <w:topLinePunct w:val="0"/>
        <w:autoSpaceDE/>
        <w:autoSpaceDN/>
        <w:bidi w:val="0"/>
        <w:adjustRightInd/>
        <w:snapToGrid/>
        <w:spacing w:before="0" w:after="0" w:line="540" w:lineRule="exact"/>
        <w:ind w:left="0" w:leftChars="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pacing w:val="0"/>
          <w:w w:val="100"/>
          <w:position w:val="0"/>
          <w:sz w:val="32"/>
          <w:szCs w:val="32"/>
          <w:lang w:val="en-US" w:eastAsia="zh-CN"/>
        </w:rPr>
        <w:t>3.</w:t>
      </w:r>
      <w:r>
        <w:rPr>
          <w:rFonts w:hint="eastAsia" w:ascii="仿宋_GB2312" w:hAnsi="仿宋_GB2312" w:eastAsia="仿宋_GB2312" w:cs="仿宋_GB2312"/>
          <w:color w:val="000000"/>
          <w:spacing w:val="0"/>
          <w:w w:val="100"/>
          <w:position w:val="0"/>
          <w:sz w:val="32"/>
          <w:szCs w:val="32"/>
        </w:rPr>
        <w:t>本规定印发实施后</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若本规定中条文式内容无法满足具体项目建设管控要求的</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可在本规定的基础上另行编制乡村地区重点地块图则</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细化明确项目控制内容</w:t>
      </w:r>
      <w:r>
        <w:rPr>
          <w:rFonts w:hint="eastAsia" w:ascii="仿宋_GB2312" w:hAnsi="仿宋_GB2312" w:eastAsia="仿宋_GB2312" w:cs="仿宋_GB2312"/>
          <w:color w:val="000000"/>
          <w:spacing w:val="0"/>
          <w:w w:val="100"/>
          <w:position w:val="0"/>
          <w:sz w:val="32"/>
          <w:szCs w:val="32"/>
          <w:lang w:eastAsia="zh-CN"/>
        </w:rPr>
        <w:t>，</w:t>
      </w:r>
      <w:r>
        <w:rPr>
          <w:rFonts w:hint="eastAsia" w:ascii="仿宋_GB2312" w:hAnsi="仿宋_GB2312" w:eastAsia="仿宋_GB2312" w:cs="仿宋_GB2312"/>
          <w:color w:val="000000"/>
          <w:spacing w:val="0"/>
          <w:w w:val="100"/>
          <w:position w:val="0"/>
          <w:sz w:val="32"/>
          <w:szCs w:val="32"/>
        </w:rPr>
        <w:t>作为核发规划许可的依据。</w:t>
      </w:r>
    </w:p>
    <w:p w14:paraId="542940D6">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right="0"/>
        <w:jc w:val="both"/>
        <w:textAlignment w:val="auto"/>
        <w:rPr>
          <w:rFonts w:hint="eastAsia" w:ascii="仿宋_GB2312" w:hAnsi="仿宋_GB2312" w:eastAsia="仿宋_GB2312" w:cs="仿宋_GB2312"/>
          <w:sz w:val="32"/>
          <w:szCs w:val="32"/>
        </w:rPr>
      </w:pPr>
    </w:p>
    <w:p w14:paraId="35201BE0">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640" w:firstLineChars="200"/>
        <w:jc w:val="left"/>
        <w:textAlignment w:val="auto"/>
        <w:rPr>
          <w:rFonts w:hint="eastAsia"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sz w:val="32"/>
          <w:szCs w:val="32"/>
          <w:lang w:eastAsia="zh-CN"/>
        </w:rPr>
        <w:t>附</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val="0"/>
          <w:bCs w:val="0"/>
          <w:color w:val="000000"/>
          <w:spacing w:val="0"/>
          <w:w w:val="100"/>
          <w:position w:val="0"/>
          <w:sz w:val="32"/>
          <w:szCs w:val="32"/>
          <w:lang w:val="en-US" w:eastAsia="zh-CN"/>
        </w:rPr>
        <w:t>陵川县乡村建设用地通则式开发强度控制指标表</w:t>
      </w:r>
    </w:p>
    <w:p w14:paraId="3D6D034E">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0" w:leftChars="0" w:right="0" w:firstLine="1600" w:firstLineChars="500"/>
        <w:jc w:val="left"/>
        <w:textAlignment w:val="auto"/>
        <w:rPr>
          <w:rFonts w:ascii="仿宋" w:hAnsi="仿宋" w:eastAsia="仿宋" w:cs="仿宋"/>
          <w:b w:val="0"/>
          <w:bCs w:val="0"/>
          <w:color w:val="000000"/>
          <w:sz w:val="28"/>
          <w:szCs w:val="28"/>
        </w:rPr>
      </w:pPr>
      <w:r>
        <w:rPr>
          <w:rFonts w:hint="eastAsia" w:ascii="仿宋_GB2312" w:hAnsi="仿宋_GB2312" w:eastAsia="仿宋_GB2312" w:cs="仿宋_GB2312"/>
          <w:b w:val="0"/>
          <w:bCs w:val="0"/>
          <w:color w:val="000000"/>
          <w:spacing w:val="0"/>
          <w:w w:val="100"/>
          <w:position w:val="0"/>
          <w:sz w:val="32"/>
          <w:szCs w:val="32"/>
          <w:lang w:val="en-US" w:eastAsia="zh-CN"/>
        </w:rPr>
        <w:t>2.</w:t>
      </w:r>
      <w:r>
        <w:rPr>
          <w:rFonts w:hint="eastAsia" w:ascii="仿宋_GB2312" w:hAnsi="仿宋_GB2312" w:eastAsia="仿宋_GB2312" w:cs="仿宋_GB2312"/>
          <w:b w:val="0"/>
          <w:bCs w:val="0"/>
          <w:color w:val="000000"/>
          <w:sz w:val="32"/>
          <w:szCs w:val="32"/>
        </w:rPr>
        <w:t>自然资源部《工业项目建设用地控制指标》</w:t>
      </w:r>
    </w:p>
    <w:p w14:paraId="761B7F95">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3.《晋城市城乡规划管理技术规定》建设项目停车位配建控制指标表</w:t>
      </w:r>
    </w:p>
    <w:p w14:paraId="6F071DA9">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p>
    <w:p w14:paraId="01A629C0">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p>
    <w:p w14:paraId="5AD08A86">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p>
    <w:p w14:paraId="53C189BC">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p>
    <w:p w14:paraId="68508A02">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p>
    <w:p w14:paraId="32EC4303">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1916" w:leftChars="760" w:right="0" w:hanging="320" w:hangingChars="100"/>
        <w:jc w:val="left"/>
        <w:textAlignment w:val="auto"/>
        <w:rPr>
          <w:rFonts w:hint="eastAsia" w:ascii="仿宋_GB2312" w:hAnsi="仿宋_GB2312" w:eastAsia="仿宋_GB2312" w:cs="仿宋_GB2312"/>
          <w:b w:val="0"/>
          <w:bCs w:val="0"/>
          <w:color w:val="000000"/>
          <w:sz w:val="32"/>
          <w:szCs w:val="32"/>
          <w:lang w:val="en-US" w:eastAsia="zh-CN"/>
        </w:rPr>
      </w:pPr>
      <w:bookmarkStart w:id="27" w:name="_GoBack"/>
      <w:bookmarkEnd w:id="27"/>
    </w:p>
    <w:p w14:paraId="06186B0C">
      <w:pPr>
        <w:pStyle w:val="9"/>
        <w:keepNext w:val="0"/>
        <w:keepLines w:val="0"/>
        <w:widowControl w:val="0"/>
        <w:shd w:val="clear" w:color="auto" w:fill="auto"/>
        <w:bidi w:val="0"/>
        <w:spacing w:before="0" w:after="0" w:line="375" w:lineRule="exact"/>
        <w:ind w:left="0" w:leftChars="0" w:right="0" w:firstLine="0" w:firstLineChars="0"/>
        <w:jc w:val="left"/>
        <w:rPr>
          <w:rFonts w:hint="eastAsia" w:ascii="黑体" w:hAnsi="黑体" w:eastAsia="黑体" w:cs="黑体"/>
          <w:b w:val="0"/>
          <w:bCs w:val="0"/>
          <w:color w:val="000000"/>
          <w:spacing w:val="0"/>
          <w:w w:val="100"/>
          <w:position w:val="0"/>
          <w:sz w:val="32"/>
          <w:szCs w:val="32"/>
          <w:lang w:val="en-US" w:eastAsia="zh-CN"/>
        </w:rPr>
      </w:pPr>
      <w:r>
        <w:rPr>
          <w:rFonts w:hint="eastAsia" w:ascii="黑体" w:hAnsi="黑体" w:eastAsia="黑体" w:cs="黑体"/>
          <w:b w:val="0"/>
          <w:bCs w:val="0"/>
          <w:color w:val="000000"/>
          <w:spacing w:val="0"/>
          <w:w w:val="100"/>
          <w:position w:val="0"/>
          <w:sz w:val="32"/>
          <w:szCs w:val="32"/>
          <w:lang w:val="en-US" w:eastAsia="zh-CN"/>
        </w:rPr>
        <w:t>附表1：</w:t>
      </w:r>
    </w:p>
    <w:p w14:paraId="1B57BFBA">
      <w:pPr>
        <w:pStyle w:val="9"/>
        <w:keepNext w:val="0"/>
        <w:keepLines w:val="0"/>
        <w:widowControl w:val="0"/>
        <w:shd w:val="clear" w:color="auto" w:fill="auto"/>
        <w:bidi w:val="0"/>
        <w:spacing w:before="0" w:after="0" w:line="375" w:lineRule="exact"/>
        <w:ind w:left="0" w:leftChars="0" w:right="0" w:firstLine="0" w:firstLineChars="0"/>
        <w:jc w:val="left"/>
        <w:rPr>
          <w:rFonts w:hint="eastAsia" w:ascii="黑体" w:hAnsi="黑体" w:eastAsia="黑体" w:cs="黑体"/>
          <w:b w:val="0"/>
          <w:bCs w:val="0"/>
          <w:color w:val="000000"/>
          <w:spacing w:val="0"/>
          <w:w w:val="100"/>
          <w:position w:val="0"/>
          <w:sz w:val="32"/>
          <w:szCs w:val="32"/>
          <w:lang w:val="en-US" w:eastAsia="zh-CN"/>
        </w:rPr>
      </w:pPr>
    </w:p>
    <w:p w14:paraId="0650384F">
      <w:pPr>
        <w:pStyle w:val="9"/>
        <w:keepNext w:val="0"/>
        <w:keepLines w:val="0"/>
        <w:widowControl w:val="0"/>
        <w:shd w:val="clear" w:color="auto" w:fill="auto"/>
        <w:bidi w:val="0"/>
        <w:spacing w:before="0" w:after="0" w:line="375" w:lineRule="exact"/>
        <w:ind w:left="0" w:leftChars="0" w:right="0" w:firstLine="0" w:firstLineChars="0"/>
        <w:jc w:val="center"/>
        <w:rPr>
          <w:rFonts w:hint="eastAsia" w:ascii="仿宋_GB2312" w:hAnsi="仿宋_GB2312" w:eastAsia="仿宋_GB2312" w:cs="仿宋_GB2312"/>
          <w:b w:val="0"/>
          <w:bCs w:val="0"/>
          <w:color w:val="000000"/>
          <w:spacing w:val="0"/>
          <w:w w:val="100"/>
          <w:position w:val="0"/>
          <w:sz w:val="32"/>
          <w:szCs w:val="32"/>
          <w:lang w:val="en-US" w:eastAsia="zh-CN"/>
        </w:rPr>
      </w:pPr>
      <w:r>
        <w:rPr>
          <w:rFonts w:hint="eastAsia" w:ascii="仿宋_GB2312" w:hAnsi="仿宋_GB2312" w:eastAsia="仿宋_GB2312" w:cs="仿宋_GB2312"/>
          <w:b w:val="0"/>
          <w:bCs w:val="0"/>
          <w:color w:val="000000"/>
          <w:spacing w:val="0"/>
          <w:w w:val="100"/>
          <w:position w:val="0"/>
          <w:sz w:val="32"/>
          <w:szCs w:val="32"/>
          <w:lang w:val="en-US" w:eastAsia="zh-CN"/>
        </w:rPr>
        <w:t>陵川县乡村建设用地通则式开发强度控制指标表</w:t>
      </w:r>
    </w:p>
    <w:tbl>
      <w:tblPr>
        <w:tblStyle w:val="5"/>
        <w:tblpPr w:leftFromText="180" w:rightFromText="180" w:vertAnchor="text" w:horzAnchor="page" w:tblpX="2113"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361"/>
        <w:gridCol w:w="1907"/>
        <w:gridCol w:w="1093"/>
        <w:gridCol w:w="1403"/>
        <w:gridCol w:w="1179"/>
      </w:tblGrid>
      <w:tr w14:paraId="1B88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1" w:type="dxa"/>
          </w:tcPr>
          <w:p w14:paraId="41D8F848">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序号</w:t>
            </w:r>
          </w:p>
        </w:tc>
        <w:tc>
          <w:tcPr>
            <w:tcW w:w="1361" w:type="dxa"/>
          </w:tcPr>
          <w:p w14:paraId="26C41FA6">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地类代码</w:t>
            </w:r>
          </w:p>
        </w:tc>
        <w:tc>
          <w:tcPr>
            <w:tcW w:w="1907" w:type="dxa"/>
          </w:tcPr>
          <w:p w14:paraId="0710FAE9">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地类名称</w:t>
            </w:r>
          </w:p>
        </w:tc>
        <w:tc>
          <w:tcPr>
            <w:tcW w:w="1093" w:type="dxa"/>
          </w:tcPr>
          <w:p w14:paraId="74721BFC">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容积率</w:t>
            </w:r>
          </w:p>
        </w:tc>
        <w:tc>
          <w:tcPr>
            <w:tcW w:w="1403" w:type="dxa"/>
          </w:tcPr>
          <w:p w14:paraId="6AB4F365">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建筑密度（%）</w:t>
            </w:r>
          </w:p>
        </w:tc>
        <w:tc>
          <w:tcPr>
            <w:tcW w:w="1179" w:type="dxa"/>
          </w:tcPr>
          <w:p w14:paraId="71689986">
            <w:pPr>
              <w:pStyle w:val="9"/>
              <w:keepNext w:val="0"/>
              <w:keepLines w:val="0"/>
              <w:widowControl w:val="0"/>
              <w:shd w:val="clear"/>
              <w:bidi w:val="0"/>
              <w:spacing w:before="0" w:after="0" w:line="375" w:lineRule="exact"/>
              <w:ind w:left="0" w:leftChars="0" w:right="0" w:firstLine="0" w:firstLineChars="0"/>
              <w:jc w:val="center"/>
              <w:rPr>
                <w:rFonts w:hint="eastAsia" w:ascii="黑体" w:hAnsi="黑体" w:eastAsia="黑体" w:cs="黑体"/>
                <w:b w:val="0"/>
                <w:bCs w:val="0"/>
                <w:color w:val="000000"/>
                <w:spacing w:val="0"/>
                <w:w w:val="100"/>
                <w:position w:val="0"/>
                <w:sz w:val="28"/>
                <w:szCs w:val="28"/>
                <w:vertAlign w:val="baseline"/>
                <w:lang w:val="en-US" w:eastAsia="zh-CN"/>
              </w:rPr>
            </w:pPr>
            <w:r>
              <w:rPr>
                <w:rFonts w:hint="eastAsia" w:ascii="黑体" w:hAnsi="黑体" w:eastAsia="黑体" w:cs="黑体"/>
                <w:b w:val="0"/>
                <w:bCs w:val="0"/>
                <w:color w:val="000000"/>
                <w:spacing w:val="0"/>
                <w:w w:val="100"/>
                <w:position w:val="0"/>
                <w:sz w:val="28"/>
                <w:szCs w:val="28"/>
                <w:vertAlign w:val="baseline"/>
                <w:lang w:val="en-US" w:eastAsia="zh-CN"/>
              </w:rPr>
              <w:t>绿地率（%）</w:t>
            </w:r>
          </w:p>
        </w:tc>
      </w:tr>
      <w:tr w14:paraId="5E1B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tcPr>
          <w:p w14:paraId="4060814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w:t>
            </w:r>
          </w:p>
        </w:tc>
        <w:tc>
          <w:tcPr>
            <w:tcW w:w="1361" w:type="dxa"/>
          </w:tcPr>
          <w:p w14:paraId="622AF391">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070301</w:t>
            </w:r>
          </w:p>
        </w:tc>
        <w:tc>
          <w:tcPr>
            <w:tcW w:w="1907" w:type="dxa"/>
          </w:tcPr>
          <w:p w14:paraId="2EBFEC11">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auto"/>
                <w:spacing w:val="0"/>
                <w:w w:val="100"/>
                <w:position w:val="0"/>
                <w:sz w:val="24"/>
                <w:szCs w:val="24"/>
                <w:vertAlign w:val="baseline"/>
                <w:lang w:val="en-US" w:eastAsia="zh-CN"/>
              </w:rPr>
              <w:t>ー类农村宅基地 (建造独户住房）</w:t>
            </w:r>
          </w:p>
        </w:tc>
        <w:tc>
          <w:tcPr>
            <w:tcW w:w="1093" w:type="dxa"/>
          </w:tcPr>
          <w:p w14:paraId="6AF081D8">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w:t>
            </w:r>
          </w:p>
        </w:tc>
        <w:tc>
          <w:tcPr>
            <w:tcW w:w="1403" w:type="dxa"/>
          </w:tcPr>
          <w:p w14:paraId="01FBBEE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w:t>
            </w:r>
          </w:p>
        </w:tc>
        <w:tc>
          <w:tcPr>
            <w:tcW w:w="1179" w:type="dxa"/>
          </w:tcPr>
          <w:p w14:paraId="6ED542E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w:t>
            </w:r>
          </w:p>
        </w:tc>
      </w:tr>
      <w:tr w14:paraId="6A16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tcPr>
          <w:p w14:paraId="26046314">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w:t>
            </w:r>
          </w:p>
        </w:tc>
        <w:tc>
          <w:tcPr>
            <w:tcW w:w="1361" w:type="dxa"/>
          </w:tcPr>
          <w:p w14:paraId="6D0C323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070302</w:t>
            </w:r>
          </w:p>
        </w:tc>
        <w:tc>
          <w:tcPr>
            <w:tcW w:w="1907" w:type="dxa"/>
          </w:tcPr>
          <w:p w14:paraId="70A0204D">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rPr>
              <w:t>二类农村宅基地 (建造集中住房</w:t>
            </w:r>
            <w:r>
              <w:rPr>
                <w:rFonts w:hint="eastAsia" w:ascii="仿宋_GB2312" w:hAnsi="仿宋_GB2312" w:eastAsia="仿宋_GB2312" w:cs="仿宋_GB2312"/>
                <w:b w:val="0"/>
                <w:bCs w:val="0"/>
                <w:color w:val="000000"/>
                <w:spacing w:val="0"/>
                <w:w w:val="100"/>
                <w:position w:val="0"/>
                <w:sz w:val="24"/>
                <w:szCs w:val="24"/>
                <w:lang w:eastAsia="zh-CN"/>
              </w:rPr>
              <w:t>）</w:t>
            </w:r>
          </w:p>
        </w:tc>
        <w:tc>
          <w:tcPr>
            <w:tcW w:w="1093" w:type="dxa"/>
          </w:tcPr>
          <w:p w14:paraId="07333DF3">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≤1.5</w:t>
            </w:r>
          </w:p>
        </w:tc>
        <w:tc>
          <w:tcPr>
            <w:tcW w:w="1403" w:type="dxa"/>
          </w:tcPr>
          <w:p w14:paraId="5D97E6F9">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tcPr>
          <w:p w14:paraId="0102041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49D4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tcPr>
          <w:p w14:paraId="286DAF94">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w:t>
            </w:r>
          </w:p>
        </w:tc>
        <w:tc>
          <w:tcPr>
            <w:tcW w:w="1361" w:type="dxa"/>
          </w:tcPr>
          <w:p w14:paraId="39CD0EDD">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0704</w:t>
            </w:r>
          </w:p>
        </w:tc>
        <w:tc>
          <w:tcPr>
            <w:tcW w:w="1907" w:type="dxa"/>
          </w:tcPr>
          <w:p w14:paraId="0A2C0897">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农村社区服务设施用地</w:t>
            </w:r>
          </w:p>
        </w:tc>
        <w:tc>
          <w:tcPr>
            <w:tcW w:w="1093" w:type="dxa"/>
          </w:tcPr>
          <w:p w14:paraId="32EA00D7">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≤1.1</w:t>
            </w:r>
          </w:p>
        </w:tc>
        <w:tc>
          <w:tcPr>
            <w:tcW w:w="1403" w:type="dxa"/>
          </w:tcPr>
          <w:p w14:paraId="3DDC8EE9">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≤40</w:t>
            </w:r>
          </w:p>
        </w:tc>
        <w:tc>
          <w:tcPr>
            <w:tcW w:w="1179" w:type="dxa"/>
          </w:tcPr>
          <w:p w14:paraId="7413BFBF">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589B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31" w:type="dxa"/>
          </w:tcPr>
          <w:p w14:paraId="78A19AA3">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w:t>
            </w:r>
          </w:p>
        </w:tc>
        <w:tc>
          <w:tcPr>
            <w:tcW w:w="1361" w:type="dxa"/>
          </w:tcPr>
          <w:p w14:paraId="62AF5B0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0801</w:t>
            </w:r>
          </w:p>
        </w:tc>
        <w:tc>
          <w:tcPr>
            <w:tcW w:w="1907" w:type="dxa"/>
          </w:tcPr>
          <w:p w14:paraId="6A88155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机关团体用地</w:t>
            </w:r>
          </w:p>
        </w:tc>
        <w:tc>
          <w:tcPr>
            <w:tcW w:w="1093" w:type="dxa"/>
          </w:tcPr>
          <w:p w14:paraId="7D3CE119">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≤2.0</w:t>
            </w:r>
          </w:p>
        </w:tc>
        <w:tc>
          <w:tcPr>
            <w:tcW w:w="1403" w:type="dxa"/>
          </w:tcPr>
          <w:p w14:paraId="0D2848E2">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≤45</w:t>
            </w:r>
          </w:p>
        </w:tc>
        <w:tc>
          <w:tcPr>
            <w:tcW w:w="1179" w:type="dxa"/>
          </w:tcPr>
          <w:p w14:paraId="79C7903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≥25</w:t>
            </w:r>
          </w:p>
        </w:tc>
      </w:tr>
      <w:tr w14:paraId="04FA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31" w:type="dxa"/>
          </w:tcPr>
          <w:p w14:paraId="3D5BBDE8">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5</w:t>
            </w:r>
          </w:p>
        </w:tc>
        <w:tc>
          <w:tcPr>
            <w:tcW w:w="1361" w:type="dxa"/>
          </w:tcPr>
          <w:p w14:paraId="3742ED5D">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0802</w:t>
            </w:r>
          </w:p>
        </w:tc>
        <w:tc>
          <w:tcPr>
            <w:tcW w:w="1907" w:type="dxa"/>
          </w:tcPr>
          <w:p w14:paraId="18BC2CE9">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科研用地</w:t>
            </w:r>
          </w:p>
        </w:tc>
        <w:tc>
          <w:tcPr>
            <w:tcW w:w="1093" w:type="dxa"/>
            <w:shd w:val="clear" w:color="auto" w:fill="auto"/>
            <w:vAlign w:val="top"/>
          </w:tcPr>
          <w:p w14:paraId="10E5F2F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≤1.6</w:t>
            </w:r>
          </w:p>
        </w:tc>
        <w:tc>
          <w:tcPr>
            <w:tcW w:w="1403" w:type="dxa"/>
            <w:shd w:val="clear" w:color="auto" w:fill="auto"/>
            <w:vAlign w:val="top"/>
          </w:tcPr>
          <w:p w14:paraId="06834776">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shd w:val="clear" w:color="auto" w:fill="auto"/>
            <w:vAlign w:val="top"/>
          </w:tcPr>
          <w:p w14:paraId="7844CB3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75D0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31" w:type="dxa"/>
          </w:tcPr>
          <w:p w14:paraId="5FE2BE7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6</w:t>
            </w:r>
          </w:p>
        </w:tc>
        <w:tc>
          <w:tcPr>
            <w:tcW w:w="1361" w:type="dxa"/>
          </w:tcPr>
          <w:p w14:paraId="177C6848">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0803</w:t>
            </w:r>
          </w:p>
        </w:tc>
        <w:tc>
          <w:tcPr>
            <w:tcW w:w="1907" w:type="dxa"/>
          </w:tcPr>
          <w:p w14:paraId="18C546B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文化用地</w:t>
            </w:r>
          </w:p>
        </w:tc>
        <w:tc>
          <w:tcPr>
            <w:tcW w:w="1093" w:type="dxa"/>
            <w:shd w:val="clear" w:color="auto" w:fill="auto"/>
            <w:vAlign w:val="top"/>
          </w:tcPr>
          <w:p w14:paraId="0D13C190">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≤1.6</w:t>
            </w:r>
          </w:p>
        </w:tc>
        <w:tc>
          <w:tcPr>
            <w:tcW w:w="1403" w:type="dxa"/>
            <w:shd w:val="clear" w:color="auto" w:fill="auto"/>
            <w:vAlign w:val="top"/>
          </w:tcPr>
          <w:p w14:paraId="7C27CA13">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shd w:val="clear" w:color="auto" w:fill="auto"/>
            <w:vAlign w:val="top"/>
          </w:tcPr>
          <w:p w14:paraId="6C5D5BE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16D1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31" w:type="dxa"/>
          </w:tcPr>
          <w:p w14:paraId="3CA143B1">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7</w:t>
            </w:r>
          </w:p>
        </w:tc>
        <w:tc>
          <w:tcPr>
            <w:tcW w:w="1361" w:type="dxa"/>
          </w:tcPr>
          <w:p w14:paraId="484D5E21">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0804</w:t>
            </w:r>
          </w:p>
        </w:tc>
        <w:tc>
          <w:tcPr>
            <w:tcW w:w="1907" w:type="dxa"/>
          </w:tcPr>
          <w:p w14:paraId="04648B73">
            <w:pPr>
              <w:keepNext w:val="0"/>
              <w:keepLines w:val="0"/>
              <w:pageBreakBefore w:val="0"/>
              <w:widowControl/>
              <w:shd w:val="clear" w:color="auto" w:fill="auto"/>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auto"/>
                <w:kern w:val="0"/>
                <w:sz w:val="24"/>
                <w:szCs w:val="24"/>
                <w:lang w:val="en-US" w:eastAsia="zh-CN"/>
              </w:rPr>
              <w:t>教育用地</w:t>
            </w:r>
          </w:p>
        </w:tc>
        <w:tc>
          <w:tcPr>
            <w:tcW w:w="1093" w:type="dxa"/>
            <w:shd w:val="clear" w:color="auto" w:fill="auto"/>
            <w:vAlign w:val="top"/>
          </w:tcPr>
          <w:p w14:paraId="56092E2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≤1.6</w:t>
            </w:r>
          </w:p>
        </w:tc>
        <w:tc>
          <w:tcPr>
            <w:tcW w:w="1403" w:type="dxa"/>
            <w:shd w:val="clear" w:color="auto" w:fill="auto"/>
            <w:vAlign w:val="top"/>
          </w:tcPr>
          <w:p w14:paraId="6E298821">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shd w:val="clear" w:color="auto" w:fill="auto"/>
            <w:vAlign w:val="top"/>
          </w:tcPr>
          <w:p w14:paraId="7DE29747">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380D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31" w:type="dxa"/>
          </w:tcPr>
          <w:p w14:paraId="4DA0D82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8</w:t>
            </w:r>
          </w:p>
        </w:tc>
        <w:tc>
          <w:tcPr>
            <w:tcW w:w="1361" w:type="dxa"/>
            <w:shd w:val="clear" w:color="auto" w:fill="auto"/>
            <w:vAlign w:val="center"/>
          </w:tcPr>
          <w:p w14:paraId="5E78C532">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0805</w:t>
            </w:r>
          </w:p>
        </w:tc>
        <w:tc>
          <w:tcPr>
            <w:tcW w:w="1907" w:type="dxa"/>
            <w:shd w:val="clear" w:color="auto" w:fill="auto"/>
            <w:vAlign w:val="center"/>
          </w:tcPr>
          <w:p w14:paraId="458BA0A4">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体育用地</w:t>
            </w:r>
          </w:p>
        </w:tc>
        <w:tc>
          <w:tcPr>
            <w:tcW w:w="1093" w:type="dxa"/>
            <w:shd w:val="clear" w:color="auto" w:fill="auto"/>
            <w:vAlign w:val="top"/>
          </w:tcPr>
          <w:p w14:paraId="40233D58">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≤1.5</w:t>
            </w:r>
          </w:p>
        </w:tc>
        <w:tc>
          <w:tcPr>
            <w:tcW w:w="1403" w:type="dxa"/>
            <w:shd w:val="clear" w:color="auto" w:fill="auto"/>
            <w:vAlign w:val="top"/>
          </w:tcPr>
          <w:p w14:paraId="503A7E9F">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≤40</w:t>
            </w:r>
          </w:p>
        </w:tc>
        <w:tc>
          <w:tcPr>
            <w:tcW w:w="1179" w:type="dxa"/>
            <w:shd w:val="clear" w:color="auto" w:fill="auto"/>
            <w:vAlign w:val="top"/>
          </w:tcPr>
          <w:p w14:paraId="2CD802E0">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r>
      <w:tr w14:paraId="0D5E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31" w:type="dxa"/>
          </w:tcPr>
          <w:p w14:paraId="068F6BD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9</w:t>
            </w:r>
          </w:p>
        </w:tc>
        <w:tc>
          <w:tcPr>
            <w:tcW w:w="1361" w:type="dxa"/>
            <w:shd w:val="clear" w:color="auto" w:fill="auto"/>
            <w:vAlign w:val="center"/>
          </w:tcPr>
          <w:p w14:paraId="6FCC9A57">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0806</w:t>
            </w:r>
          </w:p>
        </w:tc>
        <w:tc>
          <w:tcPr>
            <w:tcW w:w="1907" w:type="dxa"/>
            <w:shd w:val="clear" w:color="auto" w:fill="auto"/>
            <w:vAlign w:val="center"/>
          </w:tcPr>
          <w:p w14:paraId="37EC3BA8">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医疗卫生用地</w:t>
            </w:r>
          </w:p>
        </w:tc>
        <w:tc>
          <w:tcPr>
            <w:tcW w:w="1093" w:type="dxa"/>
            <w:shd w:val="clear" w:color="auto" w:fill="auto"/>
            <w:vAlign w:val="top"/>
          </w:tcPr>
          <w:p w14:paraId="36860A02">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≤1.6</w:t>
            </w:r>
          </w:p>
        </w:tc>
        <w:tc>
          <w:tcPr>
            <w:tcW w:w="1403" w:type="dxa"/>
            <w:shd w:val="clear" w:color="auto" w:fill="auto"/>
            <w:vAlign w:val="top"/>
          </w:tcPr>
          <w:p w14:paraId="0390C55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shd w:val="clear" w:color="auto" w:fill="auto"/>
            <w:vAlign w:val="top"/>
          </w:tcPr>
          <w:p w14:paraId="64793E38">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≥35</w:t>
            </w:r>
          </w:p>
        </w:tc>
      </w:tr>
      <w:tr w14:paraId="58D5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31" w:type="dxa"/>
          </w:tcPr>
          <w:p w14:paraId="080E77B7">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10</w:t>
            </w:r>
          </w:p>
        </w:tc>
        <w:tc>
          <w:tcPr>
            <w:tcW w:w="1361" w:type="dxa"/>
            <w:shd w:val="clear" w:color="auto" w:fill="auto"/>
            <w:vAlign w:val="center"/>
          </w:tcPr>
          <w:p w14:paraId="4779A233">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0807</w:t>
            </w:r>
          </w:p>
        </w:tc>
        <w:tc>
          <w:tcPr>
            <w:tcW w:w="1907" w:type="dxa"/>
            <w:shd w:val="clear" w:color="auto" w:fill="auto"/>
            <w:vAlign w:val="center"/>
          </w:tcPr>
          <w:p w14:paraId="25C08D87">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社会福利用地</w:t>
            </w:r>
          </w:p>
        </w:tc>
        <w:tc>
          <w:tcPr>
            <w:tcW w:w="1093" w:type="dxa"/>
            <w:shd w:val="clear" w:color="auto" w:fill="auto"/>
            <w:vAlign w:val="top"/>
          </w:tcPr>
          <w:p w14:paraId="2F070686">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≤1.5</w:t>
            </w:r>
          </w:p>
        </w:tc>
        <w:tc>
          <w:tcPr>
            <w:tcW w:w="1403" w:type="dxa"/>
            <w:shd w:val="clear" w:color="auto" w:fill="auto"/>
            <w:vAlign w:val="top"/>
          </w:tcPr>
          <w:p w14:paraId="32A8E2CE">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c>
          <w:tcPr>
            <w:tcW w:w="1179" w:type="dxa"/>
            <w:shd w:val="clear" w:color="auto" w:fill="auto"/>
            <w:vAlign w:val="top"/>
          </w:tcPr>
          <w:p w14:paraId="22CC4DE0">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≥40</w:t>
            </w:r>
          </w:p>
        </w:tc>
      </w:tr>
      <w:tr w14:paraId="35E9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31" w:type="dxa"/>
          </w:tcPr>
          <w:p w14:paraId="6A18D183">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11</w:t>
            </w:r>
          </w:p>
        </w:tc>
        <w:tc>
          <w:tcPr>
            <w:tcW w:w="1361" w:type="dxa"/>
            <w:shd w:val="clear" w:color="000000" w:fill="FFFFFF"/>
            <w:vAlign w:val="center"/>
          </w:tcPr>
          <w:p w14:paraId="345CA6FC">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09</w:t>
            </w:r>
          </w:p>
        </w:tc>
        <w:tc>
          <w:tcPr>
            <w:tcW w:w="1907" w:type="dxa"/>
            <w:shd w:val="clear" w:color="auto" w:fill="auto"/>
            <w:vAlign w:val="center"/>
          </w:tcPr>
          <w:p w14:paraId="096CD39E">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商业服务业用地</w:t>
            </w:r>
          </w:p>
        </w:tc>
        <w:tc>
          <w:tcPr>
            <w:tcW w:w="1093" w:type="dxa"/>
            <w:shd w:val="clear" w:color="auto" w:fill="auto"/>
            <w:vAlign w:val="top"/>
          </w:tcPr>
          <w:p w14:paraId="1E764D20">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≤2.0</w:t>
            </w:r>
          </w:p>
        </w:tc>
        <w:tc>
          <w:tcPr>
            <w:tcW w:w="1403" w:type="dxa"/>
            <w:shd w:val="clear" w:color="auto" w:fill="auto"/>
            <w:vAlign w:val="top"/>
          </w:tcPr>
          <w:p w14:paraId="247A3AB5">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≤45</w:t>
            </w:r>
          </w:p>
        </w:tc>
        <w:tc>
          <w:tcPr>
            <w:tcW w:w="1179" w:type="dxa"/>
            <w:shd w:val="clear" w:color="auto" w:fill="auto"/>
            <w:vAlign w:val="top"/>
          </w:tcPr>
          <w:p w14:paraId="7F7FDA24">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≥25</w:t>
            </w:r>
          </w:p>
        </w:tc>
      </w:tr>
      <w:tr w14:paraId="1419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1" w:type="dxa"/>
          </w:tcPr>
          <w:p w14:paraId="78D483EC">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12</w:t>
            </w:r>
          </w:p>
        </w:tc>
        <w:tc>
          <w:tcPr>
            <w:tcW w:w="1361" w:type="dxa"/>
            <w:shd w:val="clear" w:color="000000" w:fill="FFFFFF"/>
            <w:vAlign w:val="center"/>
          </w:tcPr>
          <w:p w14:paraId="6A679B11">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10</w:t>
            </w:r>
          </w:p>
        </w:tc>
        <w:tc>
          <w:tcPr>
            <w:tcW w:w="1907" w:type="dxa"/>
            <w:shd w:val="clear" w:color="auto" w:fill="auto"/>
            <w:vAlign w:val="center"/>
          </w:tcPr>
          <w:p w14:paraId="49D436DA">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工矿用地</w:t>
            </w:r>
          </w:p>
        </w:tc>
        <w:tc>
          <w:tcPr>
            <w:tcW w:w="3675" w:type="dxa"/>
            <w:gridSpan w:val="3"/>
          </w:tcPr>
          <w:p w14:paraId="23D6562D">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rPr>
              <w:t>依</w:t>
            </w:r>
            <w:r>
              <w:rPr>
                <w:rFonts w:hint="eastAsia" w:ascii="仿宋_GB2312" w:hAnsi="仿宋_GB2312" w:eastAsia="仿宋_GB2312" w:cs="仿宋_GB2312"/>
                <w:b w:val="0"/>
                <w:bCs w:val="0"/>
                <w:color w:val="000000"/>
                <w:spacing w:val="0"/>
                <w:w w:val="100"/>
                <w:position w:val="0"/>
                <w:sz w:val="24"/>
                <w:szCs w:val="24"/>
                <w:lang w:val="en-US" w:eastAsia="zh-CN"/>
              </w:rPr>
              <w:t>据</w:t>
            </w:r>
            <w:r>
              <w:rPr>
                <w:rFonts w:hint="eastAsia" w:ascii="仿宋_GB2312" w:hAnsi="仿宋_GB2312" w:eastAsia="仿宋_GB2312" w:cs="仿宋_GB2312"/>
                <w:b w:val="0"/>
                <w:bCs w:val="0"/>
                <w:color w:val="000000"/>
                <w:spacing w:val="0"/>
                <w:w w:val="100"/>
                <w:position w:val="0"/>
                <w:sz w:val="24"/>
                <w:szCs w:val="24"/>
              </w:rPr>
              <w:t>自然资源部</w:t>
            </w:r>
            <w:r>
              <w:rPr>
                <w:rFonts w:hint="eastAsia" w:ascii="仿宋_GB2312" w:hAnsi="仿宋_GB2312" w:eastAsia="仿宋_GB2312" w:cs="仿宋_GB2312"/>
                <w:b w:val="0"/>
                <w:bCs w:val="0"/>
                <w:color w:val="000000"/>
                <w:spacing w:val="0"/>
                <w:w w:val="100"/>
                <w:position w:val="0"/>
                <w:sz w:val="24"/>
                <w:szCs w:val="24"/>
                <w:lang w:eastAsia="zh-CN"/>
              </w:rPr>
              <w:t>《</w:t>
            </w:r>
            <w:r>
              <w:rPr>
                <w:rFonts w:hint="eastAsia" w:ascii="仿宋_GB2312" w:hAnsi="仿宋_GB2312" w:eastAsia="仿宋_GB2312" w:cs="仿宋_GB2312"/>
                <w:b w:val="0"/>
                <w:bCs w:val="0"/>
                <w:color w:val="000000"/>
                <w:spacing w:val="0"/>
                <w:w w:val="100"/>
                <w:position w:val="0"/>
                <w:sz w:val="24"/>
                <w:szCs w:val="24"/>
              </w:rPr>
              <w:t>工业</w:t>
            </w:r>
            <w:r>
              <w:rPr>
                <w:rFonts w:hint="eastAsia" w:ascii="仿宋_GB2312" w:hAnsi="仿宋_GB2312" w:eastAsia="仿宋_GB2312" w:cs="仿宋_GB2312"/>
                <w:b w:val="0"/>
                <w:bCs w:val="0"/>
                <w:color w:val="000000"/>
                <w:spacing w:val="0"/>
                <w:w w:val="100"/>
                <w:position w:val="0"/>
                <w:sz w:val="24"/>
                <w:szCs w:val="24"/>
                <w:lang w:val="en-US" w:eastAsia="zh-CN"/>
              </w:rPr>
              <w:t>项</w:t>
            </w:r>
            <w:r>
              <w:rPr>
                <w:rFonts w:hint="eastAsia" w:ascii="仿宋_GB2312" w:hAnsi="仿宋_GB2312" w:eastAsia="仿宋_GB2312" w:cs="仿宋_GB2312"/>
                <w:b w:val="0"/>
                <w:bCs w:val="0"/>
                <w:color w:val="000000"/>
                <w:spacing w:val="0"/>
                <w:w w:val="100"/>
                <w:position w:val="0"/>
                <w:sz w:val="24"/>
                <w:szCs w:val="24"/>
              </w:rPr>
              <w:t>目建设用地控制指标</w:t>
            </w:r>
            <w:r>
              <w:rPr>
                <w:rFonts w:hint="eastAsia" w:ascii="仿宋_GB2312" w:hAnsi="仿宋_GB2312" w:eastAsia="仿宋_GB2312" w:cs="仿宋_GB2312"/>
                <w:b w:val="0"/>
                <w:bCs w:val="0"/>
                <w:color w:val="000000"/>
                <w:spacing w:val="0"/>
                <w:w w:val="100"/>
                <w:position w:val="0"/>
                <w:sz w:val="24"/>
                <w:szCs w:val="24"/>
                <w:lang w:eastAsia="zh-CN"/>
              </w:rPr>
              <w:t>》</w:t>
            </w:r>
            <w:r>
              <w:rPr>
                <w:rFonts w:hint="eastAsia" w:ascii="仿宋_GB2312" w:hAnsi="仿宋_GB2312" w:eastAsia="仿宋_GB2312" w:cs="仿宋_GB2312"/>
                <w:b w:val="0"/>
                <w:bCs w:val="0"/>
                <w:color w:val="000000"/>
                <w:spacing w:val="0"/>
                <w:w w:val="100"/>
                <w:position w:val="0"/>
                <w:sz w:val="24"/>
                <w:szCs w:val="24"/>
              </w:rPr>
              <w:t>中对应行业类型控制执行</w:t>
            </w:r>
          </w:p>
        </w:tc>
      </w:tr>
      <w:tr w14:paraId="2448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31" w:type="dxa"/>
          </w:tcPr>
          <w:p w14:paraId="7658B20E">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13</w:t>
            </w:r>
          </w:p>
        </w:tc>
        <w:tc>
          <w:tcPr>
            <w:tcW w:w="1361" w:type="dxa"/>
            <w:shd w:val="clear" w:color="000000" w:fill="FFFFFF"/>
            <w:vAlign w:val="center"/>
          </w:tcPr>
          <w:p w14:paraId="584A0C6C">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11</w:t>
            </w:r>
          </w:p>
        </w:tc>
        <w:tc>
          <w:tcPr>
            <w:tcW w:w="1907" w:type="dxa"/>
            <w:shd w:val="clear" w:color="auto" w:fill="auto"/>
            <w:vAlign w:val="center"/>
          </w:tcPr>
          <w:p w14:paraId="30BA676D">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zh-CN" w:bidi="en-US"/>
              </w:rPr>
            </w:pPr>
            <w:r>
              <w:rPr>
                <w:rFonts w:hint="eastAsia" w:ascii="仿宋_GB2312" w:hAnsi="仿宋_GB2312" w:eastAsia="仿宋_GB2312" w:cs="仿宋_GB2312"/>
                <w:b w:val="0"/>
                <w:bCs w:val="0"/>
                <w:color w:val="auto"/>
                <w:kern w:val="0"/>
                <w:sz w:val="24"/>
                <w:szCs w:val="24"/>
              </w:rPr>
              <w:t>仓储用地</w:t>
            </w:r>
          </w:p>
        </w:tc>
        <w:tc>
          <w:tcPr>
            <w:tcW w:w="1093" w:type="dxa"/>
          </w:tcPr>
          <w:p w14:paraId="29D9EFB6">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≥0.8</w:t>
            </w:r>
          </w:p>
        </w:tc>
        <w:tc>
          <w:tcPr>
            <w:tcW w:w="1403" w:type="dxa"/>
          </w:tcPr>
          <w:p w14:paraId="01A68DB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≥40</w:t>
            </w:r>
          </w:p>
        </w:tc>
        <w:tc>
          <w:tcPr>
            <w:tcW w:w="1179" w:type="dxa"/>
          </w:tcPr>
          <w:p w14:paraId="4E129F7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20</w:t>
            </w:r>
          </w:p>
        </w:tc>
      </w:tr>
      <w:tr w14:paraId="3FAE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dxa"/>
          </w:tcPr>
          <w:p w14:paraId="7B8B7CFB">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14</w:t>
            </w:r>
          </w:p>
        </w:tc>
        <w:tc>
          <w:tcPr>
            <w:tcW w:w="1361" w:type="dxa"/>
            <w:shd w:val="clear" w:color="auto" w:fill="auto"/>
            <w:vAlign w:val="center"/>
          </w:tcPr>
          <w:p w14:paraId="7EA7CC86">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en-US" w:bidi="en-US"/>
              </w:rPr>
            </w:pPr>
            <w:r>
              <w:rPr>
                <w:rFonts w:hint="eastAsia" w:ascii="仿宋_GB2312" w:hAnsi="仿宋_GB2312" w:eastAsia="仿宋_GB2312" w:cs="仿宋_GB2312"/>
                <w:b w:val="0"/>
                <w:bCs w:val="0"/>
                <w:color w:val="auto"/>
                <w:kern w:val="0"/>
                <w:sz w:val="24"/>
                <w:szCs w:val="24"/>
              </w:rPr>
              <w:t>1208</w:t>
            </w:r>
          </w:p>
        </w:tc>
        <w:tc>
          <w:tcPr>
            <w:tcW w:w="1907" w:type="dxa"/>
            <w:shd w:val="clear" w:color="auto" w:fill="auto"/>
            <w:vAlign w:val="center"/>
          </w:tcPr>
          <w:p w14:paraId="722235EF">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auto"/>
                <w:spacing w:val="0"/>
                <w:w w:val="100"/>
                <w:kern w:val="0"/>
                <w:position w:val="0"/>
                <w:sz w:val="24"/>
                <w:szCs w:val="24"/>
                <w:shd w:val="clear" w:color="auto" w:fill="auto"/>
                <w:lang w:val="en-US" w:eastAsia="en-US" w:bidi="en-US"/>
              </w:rPr>
            </w:pPr>
            <w:r>
              <w:rPr>
                <w:rFonts w:hint="eastAsia" w:ascii="仿宋_GB2312" w:hAnsi="仿宋_GB2312" w:eastAsia="仿宋_GB2312" w:cs="仿宋_GB2312"/>
                <w:b w:val="0"/>
                <w:bCs w:val="0"/>
                <w:color w:val="auto"/>
                <w:kern w:val="0"/>
                <w:sz w:val="24"/>
                <w:szCs w:val="24"/>
              </w:rPr>
              <w:t>交通场站用地</w:t>
            </w:r>
          </w:p>
        </w:tc>
        <w:tc>
          <w:tcPr>
            <w:tcW w:w="1093" w:type="dxa"/>
            <w:shd w:val="clear" w:color="auto" w:fill="auto"/>
            <w:vAlign w:val="top"/>
          </w:tcPr>
          <w:p w14:paraId="5EE04796">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≤1.5</w:t>
            </w:r>
          </w:p>
        </w:tc>
        <w:tc>
          <w:tcPr>
            <w:tcW w:w="1403" w:type="dxa"/>
            <w:shd w:val="clear" w:color="auto" w:fill="auto"/>
            <w:vAlign w:val="top"/>
          </w:tcPr>
          <w:p w14:paraId="7B957B5E">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≤40</w:t>
            </w:r>
          </w:p>
        </w:tc>
        <w:tc>
          <w:tcPr>
            <w:tcW w:w="1179" w:type="dxa"/>
            <w:shd w:val="clear" w:color="auto" w:fill="auto"/>
            <w:vAlign w:val="top"/>
          </w:tcPr>
          <w:p w14:paraId="3EE316D9">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_GB2312" w:hAnsi="仿宋_GB2312" w:eastAsia="仿宋_GB2312" w:cs="仿宋_GB2312"/>
                <w:b w:val="0"/>
                <w:bCs w:val="0"/>
                <w:color w:val="000000"/>
                <w:spacing w:val="0"/>
                <w:w w:val="100"/>
                <w:position w:val="0"/>
                <w:sz w:val="24"/>
                <w:szCs w:val="24"/>
                <w:u w:val="none"/>
                <w:shd w:val="clear" w:color="auto" w:fill="auto"/>
                <w:vertAlign w:val="baseline"/>
                <w:lang w:val="en-US" w:eastAsia="zh-CN" w:bidi="en-US"/>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≥30</w:t>
            </w:r>
          </w:p>
        </w:tc>
      </w:tr>
      <w:tr w14:paraId="214A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dxa"/>
          </w:tcPr>
          <w:p w14:paraId="0B0B0EEA">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15</w:t>
            </w:r>
          </w:p>
        </w:tc>
        <w:tc>
          <w:tcPr>
            <w:tcW w:w="1361" w:type="dxa"/>
            <w:shd w:val="clear" w:color="auto" w:fill="auto"/>
            <w:vAlign w:val="center"/>
          </w:tcPr>
          <w:p w14:paraId="7AEFD307">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1506</w:t>
            </w:r>
          </w:p>
        </w:tc>
        <w:tc>
          <w:tcPr>
            <w:tcW w:w="1907" w:type="dxa"/>
            <w:shd w:val="clear" w:color="auto" w:fill="auto"/>
            <w:vAlign w:val="center"/>
          </w:tcPr>
          <w:p w14:paraId="3F5111BA">
            <w:pPr>
              <w:keepNext w:val="0"/>
              <w:keepLines w:val="0"/>
              <w:pageBreakBefore w:val="0"/>
              <w:widowControl/>
              <w:kinsoku/>
              <w:wordWrap/>
              <w:overflowPunct/>
              <w:topLinePunct w:val="0"/>
              <w:autoSpaceDE/>
              <w:autoSpaceDN/>
              <w:bidi w:val="0"/>
              <w:adjustRightInd/>
              <w:snapToGrid/>
              <w:spacing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殡葬用地（公益性公墓）</w:t>
            </w:r>
          </w:p>
        </w:tc>
        <w:tc>
          <w:tcPr>
            <w:tcW w:w="1093" w:type="dxa"/>
            <w:shd w:val="clear" w:color="auto" w:fill="auto"/>
            <w:vAlign w:val="top"/>
          </w:tcPr>
          <w:p w14:paraId="611AE21E">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≤0.2</w:t>
            </w:r>
          </w:p>
        </w:tc>
        <w:tc>
          <w:tcPr>
            <w:tcW w:w="1403" w:type="dxa"/>
            <w:shd w:val="clear" w:color="auto" w:fill="auto"/>
            <w:vAlign w:val="top"/>
          </w:tcPr>
          <w:p w14:paraId="443D3E03">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≤5</w:t>
            </w:r>
          </w:p>
        </w:tc>
        <w:tc>
          <w:tcPr>
            <w:tcW w:w="1179" w:type="dxa"/>
            <w:shd w:val="clear" w:color="auto" w:fill="auto"/>
            <w:vAlign w:val="top"/>
          </w:tcPr>
          <w:p w14:paraId="68FE5E30">
            <w:pPr>
              <w:pStyle w:val="9"/>
              <w:keepNext w:val="0"/>
              <w:keepLines w:val="0"/>
              <w:pageBreakBefore w:val="0"/>
              <w:widowControl w:val="0"/>
              <w:shd w:val="clear"/>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default" w:ascii="仿宋_GB2312" w:hAnsi="仿宋_GB2312" w:eastAsia="仿宋_GB2312" w:cs="仿宋_GB2312"/>
                <w:b w:val="0"/>
                <w:bCs w:val="0"/>
                <w:color w:val="000000"/>
                <w:spacing w:val="0"/>
                <w:w w:val="100"/>
                <w:position w:val="0"/>
                <w:sz w:val="24"/>
                <w:szCs w:val="24"/>
                <w:vertAlign w:val="baseline"/>
                <w:lang w:val="en-US" w:eastAsia="zh-CN"/>
              </w:rPr>
            </w:pPr>
            <w:r>
              <w:rPr>
                <w:rFonts w:hint="eastAsia" w:ascii="仿宋_GB2312" w:hAnsi="仿宋_GB2312" w:eastAsia="仿宋_GB2312" w:cs="仿宋_GB2312"/>
                <w:b w:val="0"/>
                <w:bCs w:val="0"/>
                <w:color w:val="000000"/>
                <w:spacing w:val="0"/>
                <w:w w:val="100"/>
                <w:position w:val="0"/>
                <w:sz w:val="24"/>
                <w:szCs w:val="24"/>
                <w:vertAlign w:val="baseline"/>
                <w:lang w:val="en-US" w:eastAsia="zh-CN"/>
              </w:rPr>
              <w:t>≥50</w:t>
            </w:r>
          </w:p>
        </w:tc>
      </w:tr>
    </w:tbl>
    <w:p w14:paraId="4C6F9F4A">
      <w:pPr>
        <w:pStyle w:val="9"/>
        <w:keepNext w:val="0"/>
        <w:keepLines w:val="0"/>
        <w:widowControl w:val="0"/>
        <w:shd w:val="clear" w:color="auto" w:fill="auto"/>
        <w:bidi w:val="0"/>
        <w:spacing w:before="0" w:after="0" w:line="375" w:lineRule="exact"/>
        <w:ind w:left="0" w:leftChars="0" w:right="0" w:firstLine="0" w:firstLineChars="0"/>
        <w:jc w:val="center"/>
        <w:rPr>
          <w:rFonts w:hint="eastAsia" w:ascii="仿宋_GB2312" w:hAnsi="仿宋_GB2312" w:eastAsia="仿宋_GB2312" w:cs="仿宋_GB2312"/>
          <w:b w:val="0"/>
          <w:bCs w:val="0"/>
          <w:color w:val="000000"/>
          <w:spacing w:val="0"/>
          <w:w w:val="100"/>
          <w:position w:val="0"/>
          <w:sz w:val="24"/>
          <w:szCs w:val="24"/>
          <w:lang w:val="en-US" w:eastAsia="zh-CN"/>
        </w:rPr>
      </w:pPr>
    </w:p>
    <w:p w14:paraId="1FA77F34">
      <w:pPr>
        <w:pStyle w:val="9"/>
        <w:keepNext w:val="0"/>
        <w:keepLines w:val="0"/>
        <w:widowControl w:val="0"/>
        <w:shd w:val="clear" w:color="auto" w:fill="auto"/>
        <w:bidi w:val="0"/>
        <w:spacing w:before="0" w:after="0" w:line="375" w:lineRule="exact"/>
        <w:ind w:left="0" w:right="0"/>
        <w:jc w:val="left"/>
        <w:rPr>
          <w:rFonts w:hint="eastAsia" w:ascii="仿宋_GB2312" w:hAnsi="仿宋_GB2312" w:eastAsia="仿宋_GB2312" w:cs="仿宋_GB2312"/>
          <w:b w:val="0"/>
          <w:bCs w:val="0"/>
          <w:color w:val="000000"/>
          <w:spacing w:val="0"/>
          <w:w w:val="100"/>
          <w:position w:val="0"/>
          <w:sz w:val="24"/>
          <w:szCs w:val="24"/>
          <w:lang w:val="en-US" w:eastAsia="zh-CN"/>
        </w:rPr>
      </w:pPr>
    </w:p>
    <w:p w14:paraId="5EC1BBB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375296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43A603A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5332248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207A24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3E2C689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01155E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67E916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7C2724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059A775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7A0BF7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5133322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6174B8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rPr>
      </w:pPr>
    </w:p>
    <w:p w14:paraId="34BE1F5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val="0"/>
          <w:bCs w:val="0"/>
          <w:sz w:val="24"/>
          <w:szCs w:val="24"/>
          <w:lang w:val="en-US" w:eastAsia="zh-CN"/>
        </w:rPr>
      </w:pPr>
    </w:p>
    <w:p w14:paraId="26C6F02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注：1.仓储项目所需行政办公及生活服务设施用地面积不得超过项目总用地面积的7%，建筑面积不得超过</w:t>
      </w:r>
      <w:r>
        <w:rPr>
          <w:rFonts w:hint="eastAsia" w:ascii="仿宋_GB2312" w:hAnsi="仿宋_GB2312" w:eastAsia="仿宋_GB2312" w:cs="仿宋_GB2312"/>
          <w:kern w:val="2"/>
          <w:sz w:val="24"/>
          <w:szCs w:val="24"/>
          <w:lang w:val="en-US" w:eastAsia="zh-CN" w:bidi="ar"/>
        </w:rPr>
        <w:t>总建筑面积的15%，</w:t>
      </w:r>
      <w:r>
        <w:rPr>
          <w:rFonts w:hint="eastAsia" w:ascii="仿宋_GB2312" w:hAnsi="仿宋_GB2312" w:eastAsia="仿宋_GB2312" w:cs="仿宋_GB2312"/>
          <w:b w:val="0"/>
          <w:bCs w:val="0"/>
          <w:sz w:val="24"/>
          <w:szCs w:val="24"/>
          <w:lang w:val="en-US" w:eastAsia="zh-CN"/>
        </w:rPr>
        <w:t>严禁在工业合储项目用地范围内建造成套住宅、酒楼、宾馆和培训中心等非生产性配套设施。</w:t>
      </w:r>
    </w:p>
    <w:p w14:paraId="754971C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2.商业服务业用地（地类代码：09）其中集中成片的民宿项目鼓励统一规划，综合确定用地指标。</w:t>
      </w:r>
    </w:p>
    <w:p w14:paraId="44AA661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3.公用设施用地（地类代码：13）指标应符合相关专项规划及各类设施的行业标准，无具体指标的可参照设计方案执行。</w:t>
      </w:r>
    </w:p>
    <w:p w14:paraId="768A10B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4.绿地与开敞空间用地（地类代码：14）参照《城市绿地设计规范》GB50420～2007（2016年版）》执行。</w:t>
      </w:r>
    </w:p>
    <w:p w14:paraId="691033E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exact"/>
        <w:ind w:leftChars="0"/>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5.特殊地区规划指标如超过本表规定的，需由县人民政府城建专题会研究确定。</w:t>
      </w:r>
    </w:p>
    <w:p w14:paraId="3F3D064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firstLine="0" w:firstLineChars="0"/>
        <w:jc w:val="left"/>
        <w:textAlignment w:val="auto"/>
        <w:rPr>
          <w:rFonts w:hint="eastAsia" w:ascii="黑体" w:hAnsi="黑体" w:eastAsia="黑体" w:cs="黑体"/>
          <w:sz w:val="32"/>
          <w:szCs w:val="32"/>
          <w:lang w:val="en-US" w:eastAsia="zh-CN"/>
        </w:rPr>
      </w:pPr>
    </w:p>
    <w:p w14:paraId="09AC703D">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firstLine="0" w:firstLineChars="0"/>
        <w:jc w:val="left"/>
        <w:textAlignment w:val="auto"/>
        <w:rPr>
          <w:rFonts w:ascii="仿宋" w:hAnsi="仿宋" w:eastAsia="仿宋" w:cs="仿宋"/>
          <w:b w:val="0"/>
          <w:bCs w:val="0"/>
          <w:color w:val="000000"/>
          <w:sz w:val="28"/>
          <w:szCs w:val="28"/>
        </w:rPr>
      </w:pPr>
      <w:r>
        <w:rPr>
          <w:rFonts w:hint="eastAsia" w:ascii="黑体" w:hAnsi="黑体" w:eastAsia="黑体" w:cs="黑体"/>
          <w:sz w:val="32"/>
          <w:szCs w:val="32"/>
          <w:lang w:val="en-US" w:eastAsia="zh-CN"/>
        </w:rPr>
        <w:t>附表2：</w:t>
      </w:r>
      <w:r>
        <w:rPr>
          <w:rFonts w:hint="eastAsia" w:ascii="仿宋_GB2312" w:hAnsi="仿宋_GB2312" w:eastAsia="仿宋_GB2312" w:cs="仿宋_GB2312"/>
          <w:b w:val="0"/>
          <w:bCs w:val="0"/>
          <w:color w:val="000000"/>
          <w:sz w:val="32"/>
          <w:szCs w:val="32"/>
        </w:rPr>
        <w:t>自然资源部《工业项目建设用地控制指标》</w:t>
      </w:r>
    </w:p>
    <w:p w14:paraId="10D5CE87">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leftChars="0" w:right="0" w:firstLine="0" w:firstLineChars="0"/>
        <w:jc w:val="center"/>
        <w:textAlignment w:val="auto"/>
        <w:rPr>
          <w:rFonts w:hint="default" w:ascii="仿宋" w:hAnsi="仿宋" w:eastAsia="仿宋" w:cs="仿宋"/>
          <w:b w:val="0"/>
          <w:bCs w:val="0"/>
          <w:color w:val="000000"/>
          <w:sz w:val="28"/>
          <w:szCs w:val="28"/>
          <w:lang w:val="en-US" w:eastAsia="zh-CN"/>
        </w:rPr>
      </w:pPr>
      <w:r>
        <w:rPr>
          <w:rFonts w:ascii="仿宋" w:hAnsi="仿宋" w:eastAsia="仿宋" w:cs="仿宋"/>
          <w:b w:val="0"/>
          <w:bCs w:val="0"/>
          <w:color w:val="000000"/>
          <w:sz w:val="28"/>
          <w:szCs w:val="28"/>
        </w:rPr>
        <w:t>表</w:t>
      </w:r>
      <w:r>
        <w:rPr>
          <w:rFonts w:hint="eastAsia" w:ascii="仿宋" w:hAnsi="仿宋" w:eastAsia="仿宋" w:cs="仿宋"/>
          <w:b w:val="0"/>
          <w:bCs w:val="0"/>
          <w:color w:val="000000"/>
          <w:sz w:val="28"/>
          <w:szCs w:val="28"/>
          <w:lang w:val="en-US" w:eastAsia="zh-CN"/>
        </w:rPr>
        <w:t>1</w:t>
      </w:r>
      <w:r>
        <w:rPr>
          <w:rFonts w:ascii="TimesNewRomanPS-BoldMT" w:hAnsi="TimesNewRomanPS-BoldMT" w:eastAsia="TimesNewRomanPS-BoldMT" w:cs="TimesNewRomanPS-BoldMT"/>
          <w:b w:val="0"/>
          <w:bCs w:val="0"/>
          <w:color w:val="000000"/>
          <w:sz w:val="28"/>
          <w:szCs w:val="28"/>
        </w:rPr>
        <w:t xml:space="preserve"> </w:t>
      </w:r>
      <w:r>
        <w:rPr>
          <w:rFonts w:hint="eastAsia" w:ascii="仿宋" w:hAnsi="仿宋" w:eastAsia="仿宋" w:cs="仿宋"/>
          <w:b w:val="0"/>
          <w:bCs w:val="0"/>
          <w:color w:val="000000"/>
          <w:sz w:val="28"/>
          <w:szCs w:val="28"/>
        </w:rPr>
        <w:t>容积率指标控制值</w:t>
      </w:r>
    </w:p>
    <w:p w14:paraId="40DB26A6">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640"/>
        <w:jc w:val="left"/>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60288" behindDoc="0" locked="0" layoutInCell="1" allowOverlap="1">
            <wp:simplePos x="0" y="0"/>
            <wp:positionH relativeFrom="column">
              <wp:posOffset>580390</wp:posOffset>
            </wp:positionH>
            <wp:positionV relativeFrom="paragraph">
              <wp:posOffset>95885</wp:posOffset>
            </wp:positionV>
            <wp:extent cx="4203700" cy="6184900"/>
            <wp:effectExtent l="0" t="0" r="6350" b="635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203700" cy="6184900"/>
                    </a:xfrm>
                    <a:prstGeom prst="rect">
                      <a:avLst/>
                    </a:prstGeom>
                    <a:noFill/>
                    <a:ln>
                      <a:noFill/>
                    </a:ln>
                  </pic:spPr>
                </pic:pic>
              </a:graphicData>
            </a:graphic>
          </wp:anchor>
        </w:drawing>
      </w:r>
    </w:p>
    <w:p w14:paraId="562B956A">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640"/>
        <w:jc w:val="left"/>
        <w:textAlignment w:val="auto"/>
        <w:rPr>
          <w:rFonts w:hint="default" w:ascii="仿宋_GB2312" w:hAnsi="仿宋_GB2312" w:eastAsia="仿宋_GB2312" w:cs="仿宋_GB2312"/>
          <w:sz w:val="32"/>
          <w:szCs w:val="32"/>
          <w:lang w:val="en-US" w:eastAsia="zh-CN"/>
        </w:rPr>
      </w:pPr>
    </w:p>
    <w:p w14:paraId="4AC6E192">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640"/>
        <w:jc w:val="left"/>
        <w:textAlignment w:val="auto"/>
        <w:rPr>
          <w:rFonts w:hint="default" w:ascii="仿宋_GB2312" w:hAnsi="仿宋_GB2312" w:eastAsia="仿宋_GB2312" w:cs="仿宋_GB2312"/>
          <w:sz w:val="32"/>
          <w:szCs w:val="32"/>
          <w:lang w:val="en-US" w:eastAsia="zh-CN"/>
        </w:rPr>
      </w:pPr>
    </w:p>
    <w:p w14:paraId="65CD794C">
      <w:pPr>
        <w:pStyle w:val="7"/>
        <w:keepNext w:val="0"/>
        <w:keepLines w:val="0"/>
        <w:pageBreakBefore w:val="0"/>
        <w:widowControl w:val="0"/>
        <w:shd w:val="clear" w:color="auto" w:fill="auto"/>
        <w:kinsoku/>
        <w:wordWrap/>
        <w:overflowPunct/>
        <w:topLinePunct w:val="0"/>
        <w:autoSpaceDE/>
        <w:autoSpaceDN/>
        <w:bidi w:val="0"/>
        <w:adjustRightInd/>
        <w:snapToGrid/>
        <w:spacing w:before="0" w:after="0" w:line="600" w:lineRule="exact"/>
        <w:ind w:left="0" w:right="0" w:firstLine="0"/>
        <w:jc w:val="left"/>
        <w:textAlignment w:val="auto"/>
        <w:rPr>
          <w:rFonts w:hint="eastAsia" w:ascii="仿宋_GB2312" w:hAnsi="仿宋_GB2312" w:eastAsia="仿宋_GB2312" w:cs="仿宋_GB2312"/>
          <w:color w:val="000000"/>
          <w:spacing w:val="0"/>
          <w:w w:val="100"/>
          <w:position w:val="0"/>
          <w:sz w:val="32"/>
          <w:szCs w:val="32"/>
          <w:lang w:val="en-US" w:eastAsia="zh-CN"/>
        </w:rPr>
      </w:pPr>
    </w:p>
    <w:p w14:paraId="28FE0A04">
      <w:pPr>
        <w:pStyle w:val="9"/>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right="0" w:firstLine="0"/>
        <w:jc w:val="left"/>
        <w:textAlignment w:val="auto"/>
        <w:rPr>
          <w:rFonts w:hint="eastAsia" w:ascii="仿宋_GB2312" w:hAnsi="仿宋_GB2312" w:eastAsia="仿宋_GB2312" w:cs="仿宋_GB2312"/>
          <w:color w:val="000000"/>
          <w:spacing w:val="0"/>
          <w:w w:val="100"/>
          <w:position w:val="0"/>
          <w:sz w:val="32"/>
          <w:szCs w:val="32"/>
        </w:rPr>
      </w:pPr>
    </w:p>
    <w:p w14:paraId="222E1DFE">
      <w:pPr>
        <w:rPr>
          <w:rFonts w:hint="default"/>
          <w:lang w:val="en-US" w:eastAsia="zh-CN"/>
        </w:rPr>
        <w:sectPr>
          <w:footerReference r:id="rId3" w:type="default"/>
          <w:pgSz w:w="11906" w:h="16838"/>
          <w:pgMar w:top="2098" w:right="1474" w:bottom="1587" w:left="1587" w:header="851" w:footer="992" w:gutter="0"/>
          <w:pgNumType w:fmt="numberInDash"/>
          <w:cols w:space="425" w:num="1"/>
          <w:docGrid w:type="lines" w:linePitch="312" w:charSpace="0"/>
        </w:sectPr>
      </w:pPr>
    </w:p>
    <w:p w14:paraId="4DFF7E2D">
      <w:pPr>
        <w:jc w:val="center"/>
        <w:rPr>
          <w:b w:val="0"/>
          <w:bCs w:val="0"/>
        </w:rPr>
      </w:pPr>
      <w:r>
        <w:rPr>
          <w:b w:val="0"/>
          <w:bCs w:val="0"/>
        </w:rPr>
        <w:drawing>
          <wp:anchor distT="0" distB="0" distL="114300" distR="114300" simplePos="0" relativeHeight="251662336" behindDoc="0" locked="0" layoutInCell="1" allowOverlap="1">
            <wp:simplePos x="0" y="0"/>
            <wp:positionH relativeFrom="column">
              <wp:posOffset>614680</wp:posOffset>
            </wp:positionH>
            <wp:positionV relativeFrom="paragraph">
              <wp:posOffset>474980</wp:posOffset>
            </wp:positionV>
            <wp:extent cx="4295775" cy="5638800"/>
            <wp:effectExtent l="0" t="0" r="9525" b="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4295775" cy="5638800"/>
                    </a:xfrm>
                    <a:prstGeom prst="rect">
                      <a:avLst/>
                    </a:prstGeom>
                    <a:noFill/>
                    <a:ln>
                      <a:noFill/>
                    </a:ln>
                  </pic:spPr>
                </pic:pic>
              </a:graphicData>
            </a:graphic>
          </wp:anchor>
        </w:drawing>
      </w:r>
      <w:r>
        <w:rPr>
          <w:rFonts w:ascii="仿宋" w:hAnsi="仿宋" w:eastAsia="仿宋" w:cs="仿宋"/>
          <w:b w:val="0"/>
          <w:bCs w:val="0"/>
          <w:color w:val="000000"/>
          <w:sz w:val="28"/>
          <w:szCs w:val="28"/>
        </w:rPr>
        <w:t>表</w:t>
      </w:r>
      <w:r>
        <w:rPr>
          <w:rFonts w:hint="eastAsia" w:ascii="仿宋" w:hAnsi="仿宋" w:eastAsia="仿宋" w:cs="仿宋"/>
          <w:b w:val="0"/>
          <w:bCs w:val="0"/>
          <w:color w:val="000000"/>
          <w:sz w:val="28"/>
          <w:szCs w:val="28"/>
          <w:lang w:val="en-US" w:eastAsia="zh-CN"/>
        </w:rPr>
        <w:t>2</w:t>
      </w:r>
      <w:r>
        <w:rPr>
          <w:rFonts w:ascii="TimesNewRomanPS-BoldMT" w:hAnsi="TimesNewRomanPS-BoldMT" w:eastAsia="TimesNewRomanPS-BoldMT" w:cs="TimesNewRomanPS-BoldMT"/>
          <w:b w:val="0"/>
          <w:bCs w:val="0"/>
          <w:color w:val="000000"/>
          <w:sz w:val="28"/>
          <w:szCs w:val="28"/>
        </w:rPr>
        <w:t xml:space="preserve"> </w:t>
      </w:r>
      <w:r>
        <w:rPr>
          <w:rFonts w:hint="eastAsia" w:ascii="仿宋" w:hAnsi="仿宋" w:eastAsia="仿宋" w:cs="仿宋"/>
          <w:b w:val="0"/>
          <w:bCs w:val="0"/>
          <w:color w:val="000000"/>
          <w:sz w:val="28"/>
          <w:szCs w:val="28"/>
        </w:rPr>
        <w:t>建筑系数指标控制值</w:t>
      </w:r>
    </w:p>
    <w:p w14:paraId="28E92C84">
      <w:pPr>
        <w:jc w:val="center"/>
        <w:rPr>
          <w:rFonts w:hint="eastAsia" w:ascii="仿宋" w:hAnsi="仿宋" w:eastAsia="仿宋" w:cs="仿宋"/>
          <w:b w:val="0"/>
          <w:bCs w:val="0"/>
          <w:color w:val="000000"/>
          <w:sz w:val="28"/>
          <w:szCs w:val="28"/>
        </w:rPr>
        <w:sectPr>
          <w:pgSz w:w="11906" w:h="16838"/>
          <w:pgMar w:top="2098" w:right="1474" w:bottom="1587" w:left="1587" w:header="851" w:footer="992" w:gutter="0"/>
          <w:pgNumType w:fmt="numberInDash"/>
          <w:cols w:space="425" w:num="1"/>
          <w:docGrid w:type="lines" w:linePitch="312" w:charSpace="0"/>
        </w:sectPr>
      </w:pPr>
      <w:r>
        <w:rPr>
          <w:rFonts w:hint="eastAsia" w:eastAsia="仿宋"/>
          <w:b w:val="0"/>
          <w:bCs w:val="0"/>
          <w:lang w:val="en-US" w:eastAsia="zh-CN"/>
        </w:rPr>
        <w:drawing>
          <wp:anchor distT="0" distB="0" distL="114300" distR="114300" simplePos="0" relativeHeight="251661312" behindDoc="0" locked="0" layoutInCell="1" allowOverlap="1">
            <wp:simplePos x="0" y="0"/>
            <wp:positionH relativeFrom="column">
              <wp:posOffset>276225</wp:posOffset>
            </wp:positionH>
            <wp:positionV relativeFrom="paragraph">
              <wp:posOffset>6144895</wp:posOffset>
            </wp:positionV>
            <wp:extent cx="4877435" cy="1854200"/>
            <wp:effectExtent l="0" t="0" r="18415" b="12700"/>
            <wp:wrapSquare wrapText="bothSides"/>
            <wp:docPr id="6" name="图片 6" descr="174366862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3668622914"/>
                    <pic:cNvPicPr>
                      <a:picLocks noChangeAspect="1"/>
                    </pic:cNvPicPr>
                  </pic:nvPicPr>
                  <pic:blipFill>
                    <a:blip r:embed="rId7"/>
                    <a:srcRect t="11279" r="-316" b="7672"/>
                    <a:stretch>
                      <a:fillRect/>
                    </a:stretch>
                  </pic:blipFill>
                  <pic:spPr>
                    <a:xfrm>
                      <a:off x="0" y="0"/>
                      <a:ext cx="4877435" cy="1854200"/>
                    </a:xfrm>
                    <a:prstGeom prst="rect">
                      <a:avLst/>
                    </a:prstGeom>
                  </pic:spPr>
                </pic:pic>
              </a:graphicData>
            </a:graphic>
          </wp:anchor>
        </w:drawing>
      </w:r>
      <w:r>
        <w:rPr>
          <w:rFonts w:ascii="仿宋" w:hAnsi="仿宋" w:eastAsia="仿宋" w:cs="仿宋"/>
          <w:b w:val="0"/>
          <w:bCs w:val="0"/>
          <w:color w:val="000000"/>
          <w:sz w:val="28"/>
          <w:szCs w:val="28"/>
        </w:rPr>
        <w:t>表</w:t>
      </w:r>
      <w:r>
        <w:rPr>
          <w:rFonts w:hint="eastAsia" w:ascii="仿宋" w:hAnsi="仿宋" w:eastAsia="仿宋" w:cs="仿宋"/>
          <w:b w:val="0"/>
          <w:bCs w:val="0"/>
          <w:color w:val="000000"/>
          <w:sz w:val="28"/>
          <w:szCs w:val="28"/>
          <w:lang w:val="en-US" w:eastAsia="zh-CN"/>
        </w:rPr>
        <w:t>3</w:t>
      </w:r>
      <w:r>
        <w:rPr>
          <w:rFonts w:ascii="TimesNewRomanPS-BoldMT" w:hAnsi="TimesNewRomanPS-BoldMT" w:eastAsia="TimesNewRomanPS-BoldMT" w:cs="TimesNewRomanPS-BoldMT"/>
          <w:b w:val="0"/>
          <w:bCs w:val="0"/>
          <w:color w:val="000000"/>
          <w:sz w:val="28"/>
          <w:szCs w:val="28"/>
        </w:rPr>
        <w:t xml:space="preserve"> </w:t>
      </w:r>
      <w:r>
        <w:rPr>
          <w:rFonts w:hint="eastAsia" w:ascii="仿宋" w:hAnsi="仿宋" w:eastAsia="仿宋" w:cs="仿宋"/>
          <w:b w:val="0"/>
          <w:bCs w:val="0"/>
          <w:color w:val="000000"/>
          <w:sz w:val="28"/>
          <w:szCs w:val="28"/>
        </w:rPr>
        <w:t>行政办公及生活服务设施用地所占比重指标控制值</w:t>
      </w:r>
    </w:p>
    <w:p w14:paraId="0D874266">
      <w:pPr>
        <w:jc w:val="center"/>
        <w:rPr>
          <w:rFonts w:hint="eastAsia" w:ascii="仿宋_GB2312" w:hAnsi="仿宋_GB2312" w:eastAsia="仿宋_GB2312" w:cs="仿宋_GB2312"/>
          <w:b w:val="0"/>
          <w:bCs w:val="0"/>
          <w:color w:val="000000"/>
          <w:sz w:val="32"/>
          <w:szCs w:val="32"/>
          <w:lang w:val="en-US" w:eastAsia="zh-CN"/>
        </w:rPr>
        <w:sectPr>
          <w:pgSz w:w="11906" w:h="16838"/>
          <w:pgMar w:top="2098" w:right="1474" w:bottom="1587" w:left="1587" w:header="851" w:footer="992" w:gutter="0"/>
          <w:pgNumType w:fmt="numberInDash"/>
          <w:cols w:space="425" w:num="1"/>
          <w:docGrid w:type="lines" w:linePitch="312" w:charSpace="0"/>
        </w:sectPr>
      </w:pPr>
      <w:r>
        <w:rPr>
          <w:rFonts w:hint="eastAsia" w:ascii="黑体" w:hAnsi="黑体" w:eastAsia="黑体" w:cs="黑体"/>
          <w:b w:val="0"/>
          <w:bCs w:val="0"/>
          <w:color w:val="000000"/>
          <w:sz w:val="32"/>
          <w:szCs w:val="32"/>
          <w:lang w:val="en-US" w:eastAsia="zh-CN"/>
        </w:rPr>
        <w:drawing>
          <wp:anchor distT="0" distB="0" distL="114300" distR="114300" simplePos="0" relativeHeight="251663360" behindDoc="0" locked="0" layoutInCell="1" allowOverlap="1">
            <wp:simplePos x="0" y="0"/>
            <wp:positionH relativeFrom="column">
              <wp:posOffset>-103505</wp:posOffset>
            </wp:positionH>
            <wp:positionV relativeFrom="paragraph">
              <wp:posOffset>830580</wp:posOffset>
            </wp:positionV>
            <wp:extent cx="5699125" cy="6991985"/>
            <wp:effectExtent l="0" t="0" r="15875" b="18415"/>
            <wp:wrapSquare wrapText="bothSides"/>
            <wp:docPr id="10" name="图片 10" descr="5b1191fb2f47a98b1252f8e0bb07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b1191fb2f47a98b1252f8e0bb07c99"/>
                    <pic:cNvPicPr>
                      <a:picLocks noChangeAspect="1"/>
                    </pic:cNvPicPr>
                  </pic:nvPicPr>
                  <pic:blipFill>
                    <a:blip r:embed="rId8"/>
                    <a:srcRect t="7736" r="12990"/>
                    <a:stretch>
                      <a:fillRect/>
                    </a:stretch>
                  </pic:blipFill>
                  <pic:spPr>
                    <a:xfrm>
                      <a:off x="0" y="0"/>
                      <a:ext cx="5699125" cy="6991985"/>
                    </a:xfrm>
                    <a:prstGeom prst="rect">
                      <a:avLst/>
                    </a:prstGeom>
                  </pic:spPr>
                </pic:pic>
              </a:graphicData>
            </a:graphic>
          </wp:anchor>
        </w:drawing>
      </w:r>
      <w:r>
        <w:rPr>
          <w:rFonts w:hint="eastAsia" w:ascii="黑体" w:hAnsi="黑体" w:eastAsia="黑体" w:cs="黑体"/>
          <w:b w:val="0"/>
          <w:bCs w:val="0"/>
          <w:color w:val="000000"/>
          <w:sz w:val="32"/>
          <w:szCs w:val="32"/>
          <w:lang w:val="en-US" w:eastAsia="zh-CN"/>
        </w:rPr>
        <w:t>附表3：</w:t>
      </w:r>
      <w:r>
        <w:rPr>
          <w:rFonts w:hint="eastAsia" w:ascii="仿宋_GB2312" w:hAnsi="仿宋_GB2312" w:eastAsia="仿宋_GB2312" w:cs="仿宋_GB2312"/>
          <w:b w:val="0"/>
          <w:bCs w:val="0"/>
          <w:color w:val="000000"/>
          <w:sz w:val="32"/>
          <w:szCs w:val="32"/>
          <w:lang w:val="en-US" w:eastAsia="zh-CN"/>
        </w:rPr>
        <w:t>《晋城市城乡规划管理技术规定》建设项目停车位配建控制指标表</w:t>
      </w:r>
    </w:p>
    <w:p w14:paraId="77202AB2">
      <w:pPr>
        <w:jc w:val="center"/>
        <w:rPr>
          <w:rFonts w:hint="default" w:ascii="仿宋" w:hAnsi="仿宋" w:eastAsia="仿宋" w:cs="仿宋"/>
          <w:b/>
          <w:bCs/>
          <w:color w:val="000000"/>
          <w:sz w:val="28"/>
          <w:szCs w:val="28"/>
          <w:lang w:val="en-US" w:eastAsia="zh-CN"/>
        </w:rPr>
        <w:sectPr>
          <w:pgSz w:w="11906" w:h="16838"/>
          <w:pgMar w:top="2098" w:right="1474" w:bottom="1587" w:left="1587" w:header="851" w:footer="992" w:gutter="0"/>
          <w:pgNumType w:fmt="numberInDash"/>
          <w:cols w:space="425" w:num="1"/>
          <w:docGrid w:type="lines" w:linePitch="312" w:charSpace="0"/>
        </w:sectPr>
      </w:pPr>
      <w:r>
        <w:rPr>
          <w:rFonts w:hint="default" w:ascii="仿宋" w:hAnsi="仿宋" w:eastAsia="仿宋" w:cs="仿宋"/>
          <w:b/>
          <w:bCs/>
          <w:color w:val="000000"/>
          <w:sz w:val="28"/>
          <w:szCs w:val="28"/>
          <w:lang w:val="en-US" w:eastAsia="zh-CN"/>
        </w:rPr>
        <w:drawing>
          <wp:inline distT="0" distB="0" distL="114300" distR="114300">
            <wp:extent cx="5473065" cy="6129655"/>
            <wp:effectExtent l="0" t="0" r="13335" b="4445"/>
            <wp:docPr id="11" name="图片 11" descr="17436689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3668951384"/>
                    <pic:cNvPicPr>
                      <a:picLocks noChangeAspect="1"/>
                    </pic:cNvPicPr>
                  </pic:nvPicPr>
                  <pic:blipFill>
                    <a:blip r:embed="rId9"/>
                    <a:srcRect l="4609" t="6017"/>
                    <a:stretch>
                      <a:fillRect/>
                    </a:stretch>
                  </pic:blipFill>
                  <pic:spPr>
                    <a:xfrm>
                      <a:off x="0" y="0"/>
                      <a:ext cx="5473065" cy="6129655"/>
                    </a:xfrm>
                    <a:prstGeom prst="rect">
                      <a:avLst/>
                    </a:prstGeom>
                  </pic:spPr>
                </pic:pic>
              </a:graphicData>
            </a:graphic>
          </wp:inline>
        </w:drawing>
      </w:r>
    </w:p>
    <w:p w14:paraId="296206E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黑体" w:hAnsi="黑体" w:eastAsia="黑体" w:cs="黑体"/>
          <w:b w:val="0"/>
          <w:bCs w:val="0"/>
          <w:color w:val="000000"/>
          <w:sz w:val="32"/>
          <w:szCs w:val="32"/>
        </w:rPr>
      </w:pPr>
      <w:r>
        <w:rPr>
          <w:rFonts w:hint="eastAsia" w:ascii="黑体" w:hAnsi="黑体" w:eastAsia="黑体" w:cs="黑体"/>
          <w:b w:val="0"/>
          <w:bCs w:val="0"/>
          <w:color w:val="000000"/>
          <w:sz w:val="32"/>
          <w:szCs w:val="32"/>
        </w:rPr>
        <w:t>术语、名词解释</w:t>
      </w:r>
    </w:p>
    <w:p w14:paraId="12E80C7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rPr>
          <w:rFonts w:hint="eastAsia" w:ascii="仿宋_GB2312" w:hAnsi="仿宋_GB2312" w:eastAsia="仿宋_GB2312" w:cs="仿宋_GB2312"/>
          <w:b/>
          <w:bCs/>
          <w:color w:val="000000"/>
          <w:sz w:val="28"/>
          <w:szCs w:val="28"/>
          <w:lang w:val="en-US" w:eastAsia="zh-CN"/>
        </w:rPr>
      </w:pPr>
    </w:p>
    <w:p w14:paraId="212F94E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1.</w:t>
      </w:r>
      <w:r>
        <w:rPr>
          <w:rFonts w:hint="eastAsia" w:ascii="仿宋_GB2312" w:hAnsi="仿宋_GB2312" w:eastAsia="仿宋_GB2312" w:cs="仿宋_GB2312"/>
          <w:b/>
          <w:bCs/>
          <w:color w:val="000000"/>
          <w:sz w:val="32"/>
          <w:szCs w:val="32"/>
        </w:rPr>
        <w:t>容积率：</w:t>
      </w:r>
      <w:r>
        <w:rPr>
          <w:rFonts w:hint="eastAsia" w:ascii="仿宋_GB2312" w:hAnsi="仿宋_GB2312" w:eastAsia="仿宋_GB2312" w:cs="仿宋_GB2312"/>
          <w:b w:val="0"/>
          <w:bCs w:val="0"/>
          <w:color w:val="000000"/>
          <w:sz w:val="32"/>
          <w:szCs w:val="32"/>
        </w:rPr>
        <w:t>地块净用地范围内地面以上总建筑面积与净用地面积的比值。</w:t>
      </w:r>
    </w:p>
    <w:p w14:paraId="220C65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2.绿地率：</w:t>
      </w:r>
      <w:r>
        <w:rPr>
          <w:rFonts w:hint="eastAsia" w:ascii="仿宋_GB2312" w:hAnsi="仿宋_GB2312" w:eastAsia="仿宋_GB2312" w:cs="仿宋_GB2312"/>
          <w:b w:val="0"/>
          <w:bCs w:val="0"/>
          <w:color w:val="000000"/>
          <w:sz w:val="32"/>
          <w:szCs w:val="32"/>
        </w:rPr>
        <w:t xml:space="preserve">地块净用地范围内各类绿化用地总面积与净用地面积的比例。 </w:t>
      </w:r>
    </w:p>
    <w:p w14:paraId="07985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3.建筑密度：</w:t>
      </w:r>
      <w:r>
        <w:rPr>
          <w:rFonts w:hint="eastAsia" w:ascii="仿宋_GB2312" w:hAnsi="仿宋_GB2312" w:eastAsia="仿宋_GB2312" w:cs="仿宋_GB2312"/>
          <w:b w:val="0"/>
          <w:bCs w:val="0"/>
          <w:color w:val="000000"/>
          <w:sz w:val="32"/>
          <w:szCs w:val="32"/>
        </w:rPr>
        <w:t>地块净用地范围内建筑物基底总面积与净用地面积的比例。</w:t>
      </w:r>
    </w:p>
    <w:p w14:paraId="075738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4.建筑系数：</w:t>
      </w:r>
      <w:r>
        <w:rPr>
          <w:rFonts w:hint="eastAsia" w:ascii="仿宋_GB2312" w:hAnsi="仿宋_GB2312" w:eastAsia="仿宋_GB2312" w:cs="仿宋_GB2312"/>
          <w:b w:val="0"/>
          <w:bCs w:val="0"/>
          <w:color w:val="000000"/>
          <w:sz w:val="32"/>
          <w:szCs w:val="32"/>
        </w:rPr>
        <w:t>项目用地范围内各种建筑物、用于生产和直接为生产服务的构筑物占地面积总和</w:t>
      </w:r>
      <w:r>
        <w:rPr>
          <w:rFonts w:hint="eastAsia" w:ascii="仿宋_GB2312" w:hAnsi="仿宋_GB2312" w:eastAsia="仿宋_GB2312" w:cs="仿宋_GB2312"/>
          <w:b w:val="0"/>
          <w:bCs w:val="0"/>
          <w:color w:val="000000"/>
          <w:sz w:val="32"/>
          <w:szCs w:val="32"/>
          <w:lang w:val="en-US" w:eastAsia="zh-CN"/>
        </w:rPr>
        <w:t>与净用地面积的</w:t>
      </w:r>
      <w:r>
        <w:rPr>
          <w:rFonts w:hint="eastAsia" w:ascii="仿宋_GB2312" w:hAnsi="仿宋_GB2312" w:eastAsia="仿宋_GB2312" w:cs="仿宋_GB2312"/>
          <w:b w:val="0"/>
          <w:bCs w:val="0"/>
          <w:color w:val="000000"/>
          <w:sz w:val="32"/>
          <w:szCs w:val="32"/>
        </w:rPr>
        <w:t>比</w:t>
      </w:r>
      <w:r>
        <w:rPr>
          <w:rFonts w:hint="eastAsia" w:ascii="仿宋_GB2312" w:hAnsi="仿宋_GB2312" w:eastAsia="仿宋_GB2312" w:cs="仿宋_GB2312"/>
          <w:b w:val="0"/>
          <w:bCs w:val="0"/>
          <w:color w:val="000000"/>
          <w:sz w:val="32"/>
          <w:szCs w:val="32"/>
          <w:lang w:val="en-US" w:eastAsia="zh-CN"/>
        </w:rPr>
        <w:t>值</w:t>
      </w:r>
      <w:r>
        <w:rPr>
          <w:rFonts w:hint="eastAsia" w:ascii="仿宋_GB2312" w:hAnsi="仿宋_GB2312" w:eastAsia="仿宋_GB2312" w:cs="仿宋_GB2312"/>
          <w:b w:val="0"/>
          <w:bCs w:val="0"/>
          <w:color w:val="000000"/>
          <w:sz w:val="32"/>
          <w:szCs w:val="32"/>
        </w:rPr>
        <w:t xml:space="preserve">。 </w:t>
      </w:r>
    </w:p>
    <w:p w14:paraId="4CB4201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5.净用地面积：</w:t>
      </w:r>
      <w:r>
        <w:rPr>
          <w:rFonts w:hint="eastAsia" w:ascii="仿宋_GB2312" w:hAnsi="仿宋_GB2312" w:eastAsia="仿宋_GB2312" w:cs="仿宋_GB2312"/>
          <w:b w:val="0"/>
          <w:bCs w:val="0"/>
          <w:color w:val="000000"/>
          <w:sz w:val="32"/>
          <w:szCs w:val="32"/>
        </w:rPr>
        <w:t>地块用地界线范围内，除去城乡道路、城乡绿地等各类代征用地以外的用地面积。</w:t>
      </w:r>
    </w:p>
    <w:p w14:paraId="5DEFF1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6.</w:t>
      </w:r>
      <w:r>
        <w:rPr>
          <w:rFonts w:hint="eastAsia" w:ascii="仿宋_GB2312" w:hAnsi="仿宋_GB2312" w:eastAsia="仿宋_GB2312" w:cs="仿宋_GB2312"/>
          <w:b/>
          <w:bCs/>
          <w:color w:val="000000"/>
          <w:sz w:val="32"/>
          <w:szCs w:val="32"/>
        </w:rPr>
        <w:t>建筑高度：</w:t>
      </w:r>
      <w:r>
        <w:rPr>
          <w:rFonts w:hint="eastAsia" w:ascii="仿宋_GB2312" w:hAnsi="仿宋_GB2312" w:eastAsia="仿宋_GB2312" w:cs="仿宋_GB2312"/>
          <w:b w:val="0"/>
          <w:bCs w:val="0"/>
          <w:color w:val="000000"/>
          <w:sz w:val="32"/>
          <w:szCs w:val="32"/>
        </w:rPr>
        <w:t xml:space="preserve">根据《民用建筑通用规范》GB55031-2022，平屋顶建筑高度应按室外设计地坪至建筑物女儿墙顶点的高度计算，无女儿墙的建筑应按至其屋面檐口顶点的高度计算。 </w:t>
      </w:r>
    </w:p>
    <w:p w14:paraId="523435C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lang w:val="en-US" w:eastAsia="zh-CN"/>
        </w:rPr>
        <w:t>7.用地界线：</w:t>
      </w:r>
      <w:r>
        <w:rPr>
          <w:rFonts w:hint="eastAsia" w:ascii="仿宋_GB2312" w:hAnsi="仿宋_GB2312" w:eastAsia="仿宋_GB2312" w:cs="仿宋_GB2312"/>
          <w:b w:val="0"/>
          <w:bCs w:val="0"/>
          <w:color w:val="000000"/>
          <w:sz w:val="32"/>
          <w:szCs w:val="32"/>
        </w:rPr>
        <w:t xml:space="preserve">地块用地边界线（征地范围线）。 </w:t>
      </w:r>
    </w:p>
    <w:p w14:paraId="641D50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000000"/>
          <w:sz w:val="32"/>
          <w:szCs w:val="32"/>
          <w:lang w:val="en-US" w:eastAsia="zh-CN"/>
        </w:rPr>
        <w:t>8.建筑控制线：</w:t>
      </w:r>
      <w:r>
        <w:rPr>
          <w:rFonts w:hint="eastAsia" w:ascii="仿宋_GB2312" w:hAnsi="仿宋_GB2312" w:eastAsia="仿宋_GB2312" w:cs="仿宋_GB2312"/>
          <w:b w:val="0"/>
          <w:bCs w:val="0"/>
          <w:color w:val="000000"/>
          <w:sz w:val="32"/>
          <w:szCs w:val="32"/>
        </w:rPr>
        <w:t>地块用地界线内，建设工程最外缘的控制范围线。无特别注明外，一般指地上建筑控制线。</w:t>
      </w:r>
    </w:p>
    <w:p w14:paraId="6C6E301D"/>
    <w:sectPr>
      <w:pgSz w:w="11906" w:h="16838"/>
      <w:pgMar w:top="2098" w:right="1474" w:bottom="1587"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BoldM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0219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9F296">
                          <w:pPr>
                            <w:pStyle w:val="2"/>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FC9F296">
                    <w:pPr>
                      <w:pStyle w:val="2"/>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0M2Y3ZTQwY2EyOWRiYTk4ZWZiYmQ4OGUxZjVjM2YifQ=="/>
  </w:docVars>
  <w:rsids>
    <w:rsidRoot w:val="621A4F0A"/>
    <w:rsid w:val="0ED07FE5"/>
    <w:rsid w:val="0F312ACB"/>
    <w:rsid w:val="1A0F4128"/>
    <w:rsid w:val="21D1786A"/>
    <w:rsid w:val="233D4AA6"/>
    <w:rsid w:val="35171842"/>
    <w:rsid w:val="4C8E75EA"/>
    <w:rsid w:val="621A4F0A"/>
    <w:rsid w:val="651F7C60"/>
    <w:rsid w:val="681D4A51"/>
    <w:rsid w:val="73B94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Heading #2|1"/>
    <w:basedOn w:val="1"/>
    <w:qFormat/>
    <w:uiPriority w:val="0"/>
    <w:pPr>
      <w:widowControl w:val="0"/>
      <w:shd w:val="clear" w:color="auto" w:fill="auto"/>
      <w:spacing w:after="340" w:line="283" w:lineRule="auto"/>
      <w:ind w:firstLine="190"/>
      <w:outlineLvl w:val="1"/>
    </w:pPr>
    <w:rPr>
      <w:rFonts w:ascii="MS Mincho" w:hAnsi="MS Mincho" w:eastAsia="MS Mincho" w:cs="MS Mincho"/>
      <w:u w:val="none"/>
      <w:shd w:val="clear" w:color="auto" w:fill="auto"/>
    </w:rPr>
  </w:style>
  <w:style w:type="paragraph" w:customStyle="1" w:styleId="8">
    <w:name w:val="Heading #3|1"/>
    <w:basedOn w:val="1"/>
    <w:qFormat/>
    <w:uiPriority w:val="0"/>
    <w:pPr>
      <w:widowControl w:val="0"/>
      <w:shd w:val="clear" w:color="auto" w:fill="auto"/>
      <w:spacing w:line="363" w:lineRule="exact"/>
      <w:ind w:firstLine="400"/>
      <w:outlineLvl w:val="2"/>
    </w:pPr>
    <w:rPr>
      <w:rFonts w:ascii="宋体" w:hAnsi="宋体" w:eastAsia="宋体" w:cs="宋体"/>
      <w:b/>
      <w:bCs/>
      <w:sz w:val="18"/>
      <w:szCs w:val="18"/>
      <w:u w:val="none"/>
      <w:shd w:val="clear" w:color="auto" w:fill="auto"/>
    </w:rPr>
  </w:style>
  <w:style w:type="paragraph" w:customStyle="1" w:styleId="9">
    <w:name w:val="Body text|1"/>
    <w:basedOn w:val="1"/>
    <w:qFormat/>
    <w:uiPriority w:val="0"/>
    <w:pPr>
      <w:widowControl w:val="0"/>
      <w:shd w:val="clear" w:color="auto" w:fill="auto"/>
      <w:spacing w:line="425" w:lineRule="auto"/>
      <w:ind w:firstLine="400"/>
    </w:pPr>
    <w:rPr>
      <w:rFonts w:ascii="宋体" w:hAnsi="宋体" w:eastAsia="宋体" w:cs="宋体"/>
      <w:sz w:val="18"/>
      <w:szCs w:val="18"/>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4965</Words>
  <Characters>5210</Characters>
  <Lines>0</Lines>
  <Paragraphs>0</Paragraphs>
  <TotalTime>3</TotalTime>
  <ScaleCrop>false</ScaleCrop>
  <LinksUpToDate>false</LinksUpToDate>
  <CharactersWithSpaces>5227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2025-04-27T07:54:00Z</dcterms:created>
  <dc:creator>西瓜</dc:creator>
  <cp:lastModifiedBy>西瓜</cp:lastModifiedBy>
  <cp:lastPrinted>2025-05-07T09:23:00Z</cp:lastPrinted>
  <dcterms:modified xsi:type="dcterms:W3CDTF">2025-05-13T08:52:24Z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6F3DACAE5E7F426AB429F84917F20609_11</vt:lpwstr>
  </property>
  <property fmtid="{D5CDD505-2E9C-101B-9397-08002B2CF9AE}" pid="4" name="KSOTemplateDocerSaveRecord">
    <vt:lpwstr>eyJoZGlkIjoiODBiYmU0ZWU5NmUwODA2ZTZlYzYxYjcyN2FmNDUzOTUiLCJ1c2VySWQiOiI2MzQ0ODI1NDUifQ==</vt:lpwstr>
  </property>
</Properties>
</file>