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楷体" w:hAnsi="楷体" w:eastAsia="楷体" w:cs="楷体"/>
          <w:b w:val="0"/>
          <w:bCs/>
          <w:kern w:val="2"/>
          <w:sz w:val="32"/>
          <w:szCs w:val="32"/>
          <w:lang w:val="en-US" w:eastAsia="zh-CN" w:bidi="ar-SA"/>
        </w:rPr>
      </w:pPr>
      <w:r>
        <w:rPr>
          <w:rFonts w:hint="eastAsia" w:ascii="宋体" w:hAnsi="宋体" w:eastAsia="宋体" w:cs="宋体"/>
          <w:b/>
          <w:kern w:val="2"/>
          <w:sz w:val="44"/>
          <w:szCs w:val="44"/>
          <w:lang w:val="en-US" w:eastAsia="zh-CN" w:bidi="ar-SA"/>
        </w:rPr>
        <w:t>晋城市城市户外广告和招牌设置管理办法</w:t>
      </w:r>
      <w:r>
        <w:rPr>
          <w:rFonts w:hint="eastAsia" w:ascii="宋体" w:hAnsi="宋体" w:eastAsia="宋体" w:cs="宋体"/>
          <w:b/>
          <w:kern w:val="2"/>
          <w:sz w:val="44"/>
          <w:szCs w:val="44"/>
          <w:lang w:val="en-US" w:eastAsia="zh-CN" w:bidi="ar-SA"/>
        </w:rPr>
        <w:br w:type="textWrapping"/>
      </w:r>
      <w:r>
        <w:rPr>
          <w:rFonts w:hint="eastAsia" w:ascii="楷体" w:hAnsi="楷体" w:eastAsia="楷体" w:cs="楷体"/>
          <w:b w:val="0"/>
          <w:bCs/>
          <w:kern w:val="2"/>
          <w:sz w:val="32"/>
          <w:szCs w:val="32"/>
          <w:lang w:val="en-US" w:eastAsia="zh-CN" w:bidi="ar-SA"/>
        </w:rPr>
        <w:t>（2021年12月8日晋城市人民政府令第3号公布</w:t>
      </w:r>
      <w:bookmarkStart w:id="0" w:name="_GoBack"/>
      <w:bookmarkEnd w:id="0"/>
      <w:r>
        <w:rPr>
          <w:rFonts w:hint="eastAsia" w:ascii="楷体" w:hAnsi="楷体" w:eastAsia="楷体" w:cs="楷体"/>
          <w:b w:val="0"/>
          <w:bCs/>
          <w:kern w:val="2"/>
          <w:sz w:val="32"/>
          <w:szCs w:val="32"/>
          <w:lang w:val="en-US" w:eastAsia="zh-CN" w:bidi="ar-SA"/>
        </w:rPr>
        <w:br w:type="textWrapping"/>
      </w:r>
      <w:r>
        <w:rPr>
          <w:rFonts w:hint="eastAsia" w:ascii="楷体" w:hAnsi="楷体" w:eastAsia="楷体" w:cs="楷体"/>
          <w:b w:val="0"/>
          <w:bCs/>
          <w:kern w:val="2"/>
          <w:sz w:val="32"/>
          <w:szCs w:val="32"/>
          <w:lang w:val="en-US" w:eastAsia="zh-CN" w:bidi="ar-SA"/>
        </w:rPr>
        <w:t>根据2023年8月10日晋城市人民政府令第6号修正）</w:t>
      </w:r>
    </w:p>
    <w:p>
      <w:pPr>
        <w:rPr>
          <w:rFonts w:hint="eastAsia" w:eastAsia="宋体"/>
          <w:lang w:eastAsia="zh-CN"/>
        </w:rPr>
      </w:pPr>
    </w:p>
    <w:p>
      <w:pPr>
        <w:spacing w:line="560" w:lineRule="exact"/>
        <w:ind w:firstLine="643" w:firstLineChars="200"/>
        <w:rPr>
          <w:rFonts w:hint="eastAsia" w:ascii="仿宋" w:hAnsi="仿宋" w:eastAsia="仿宋" w:cs="仿宋"/>
          <w:sz w:val="32"/>
          <w:szCs w:val="32"/>
          <w:lang w:eastAsia="zh-CN"/>
        </w:rPr>
      </w:pPr>
      <w:r>
        <w:rPr>
          <w:rFonts w:hint="eastAsia" w:ascii="黑体" w:hAnsi="黑体" w:eastAsia="黑体" w:cs="黑体"/>
          <w:b/>
          <w:bCs/>
          <w:sz w:val="32"/>
          <w:szCs w:val="32"/>
          <w:lang w:eastAsia="zh-CN"/>
        </w:rPr>
        <w:t xml:space="preserve">第一条 </w:t>
      </w:r>
      <w:r>
        <w:rPr>
          <w:rFonts w:hint="eastAsia" w:ascii="仿宋" w:hAnsi="仿宋" w:eastAsia="仿宋" w:cs="仿宋"/>
          <w:sz w:val="32"/>
          <w:szCs w:val="32"/>
          <w:lang w:eastAsia="zh-CN"/>
        </w:rPr>
        <w:t xml:space="preserve"> 为了规范城市户外广告和招牌设置，科学合理利用城市空间资源，创建健康有序的城市户外视觉环境，根据《中华人民共和国城乡规划法》《中华人民共和国广告法》《城市市容和环境卫生管理条例》等法律法规，结合本市实际，制定本办法。</w:t>
      </w:r>
    </w:p>
    <w:p>
      <w:pPr>
        <w:spacing w:line="560" w:lineRule="exact"/>
        <w:ind w:firstLine="643" w:firstLineChars="200"/>
        <w:rPr>
          <w:rFonts w:hint="eastAsia" w:ascii="仿宋" w:hAnsi="仿宋" w:eastAsia="仿宋" w:cs="仿宋"/>
          <w:sz w:val="32"/>
          <w:szCs w:val="32"/>
          <w:lang w:eastAsia="zh-CN"/>
        </w:rPr>
      </w:pPr>
      <w:r>
        <w:rPr>
          <w:rFonts w:hint="eastAsia" w:ascii="黑体" w:hAnsi="黑体" w:eastAsia="黑体" w:cs="黑体"/>
          <w:b/>
          <w:bCs/>
          <w:sz w:val="32"/>
          <w:szCs w:val="32"/>
          <w:lang w:eastAsia="zh-CN"/>
        </w:rPr>
        <w:t>第二条</w:t>
      </w:r>
      <w:r>
        <w:rPr>
          <w:rFonts w:hint="eastAsia" w:ascii="仿宋" w:hAnsi="仿宋" w:eastAsia="仿宋" w:cs="仿宋"/>
          <w:sz w:val="32"/>
          <w:szCs w:val="32"/>
          <w:lang w:eastAsia="zh-CN"/>
        </w:rPr>
        <w:t xml:space="preserve">  本办法适用于本市中心城区范围内户外广告和招牌的规划、设置、维护和管理。</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本市中心城区范围以市规划和自然资源主管部门出具的范围图为准。泽州县辖区户外广告和招牌设置的许可、监督管理工作由泽州县相关部门负责。</w:t>
      </w:r>
    </w:p>
    <w:p>
      <w:pPr>
        <w:spacing w:line="560" w:lineRule="exact"/>
        <w:ind w:firstLine="643" w:firstLineChars="200"/>
        <w:rPr>
          <w:rFonts w:hint="eastAsia" w:ascii="仿宋" w:hAnsi="仿宋" w:eastAsia="仿宋" w:cs="仿宋"/>
          <w:sz w:val="32"/>
          <w:szCs w:val="32"/>
          <w:lang w:eastAsia="zh-CN"/>
        </w:rPr>
      </w:pPr>
      <w:r>
        <w:rPr>
          <w:rFonts w:hint="eastAsia" w:ascii="黑体" w:hAnsi="黑体" w:eastAsia="黑体" w:cs="黑体"/>
          <w:b/>
          <w:bCs/>
          <w:sz w:val="32"/>
          <w:szCs w:val="32"/>
          <w:lang w:eastAsia="zh-CN"/>
        </w:rPr>
        <w:t>第三条</w:t>
      </w:r>
      <w:r>
        <w:rPr>
          <w:rFonts w:hint="eastAsia" w:ascii="仿宋" w:hAnsi="仿宋" w:eastAsia="仿宋" w:cs="仿宋"/>
          <w:sz w:val="32"/>
          <w:szCs w:val="32"/>
          <w:lang w:eastAsia="zh-CN"/>
        </w:rPr>
        <w:t xml:space="preserve">  本办法所称户外广告，是指利用户外场地、空间、建（构）筑物以及交通工具外部等户外设施，以指示牌、展示牌、电子显示装置、灯箱、霓虹灯、招贴栏、布幅等为载体，以实物造型、图像、文字及其他形式发布的商业广告和公益广告。</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本办法所称招牌，是指自然人、法人或者其他组织在其办公、经营场所建（构）筑物外立面或者用地范围内，设置的用于表明其名称、字号、商号、标识的牌、匾等设施。</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本办法所称大型户外广告是指单面面积大于等于十平方米或者任一边长大于等于四米的户外广告设施。</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本办法所称公益广告，是指传播社会主义核心价值观，倡导良好道德风尚，提高公民文明素质和社会文明程度，维护国家和社会公共利益的非营利性广告。</w:t>
      </w:r>
    </w:p>
    <w:p>
      <w:pPr>
        <w:spacing w:line="560" w:lineRule="exact"/>
        <w:ind w:firstLine="643" w:firstLineChars="200"/>
        <w:rPr>
          <w:rFonts w:hint="eastAsia" w:ascii="仿宋" w:hAnsi="仿宋" w:eastAsia="仿宋" w:cs="仿宋"/>
          <w:sz w:val="32"/>
          <w:szCs w:val="32"/>
          <w:lang w:eastAsia="zh-CN"/>
        </w:rPr>
      </w:pPr>
      <w:r>
        <w:rPr>
          <w:rFonts w:hint="eastAsia" w:ascii="黑体" w:hAnsi="黑体" w:eastAsia="黑体" w:cs="黑体"/>
          <w:b/>
          <w:bCs/>
          <w:sz w:val="32"/>
          <w:szCs w:val="32"/>
          <w:lang w:eastAsia="zh-CN"/>
        </w:rPr>
        <w:t xml:space="preserve">第四条 </w:t>
      </w:r>
      <w:r>
        <w:rPr>
          <w:rFonts w:hint="eastAsia" w:ascii="仿宋" w:hAnsi="仿宋" w:eastAsia="仿宋" w:cs="仿宋"/>
          <w:sz w:val="32"/>
          <w:szCs w:val="32"/>
          <w:lang w:eastAsia="zh-CN"/>
        </w:rPr>
        <w:t xml:space="preserve"> 户外广告和招牌设置应当遵循统筹规划、布局合理、安全规范、节能环保、文明美观的原则，并执行国家、省、市相关标准。</w:t>
      </w:r>
    </w:p>
    <w:p>
      <w:pPr>
        <w:spacing w:line="560" w:lineRule="exact"/>
        <w:ind w:firstLine="643" w:firstLineChars="200"/>
        <w:rPr>
          <w:rFonts w:hint="eastAsia" w:ascii="仿宋" w:hAnsi="仿宋" w:eastAsia="仿宋" w:cs="仿宋"/>
          <w:sz w:val="32"/>
          <w:szCs w:val="32"/>
          <w:lang w:eastAsia="zh-CN"/>
        </w:rPr>
      </w:pPr>
      <w:r>
        <w:rPr>
          <w:rFonts w:hint="eastAsia" w:ascii="黑体" w:hAnsi="黑体" w:eastAsia="黑体" w:cs="黑体"/>
          <w:b/>
          <w:bCs/>
          <w:sz w:val="32"/>
          <w:szCs w:val="32"/>
          <w:lang w:eastAsia="zh-CN"/>
        </w:rPr>
        <w:t>第五条</w:t>
      </w:r>
      <w:r>
        <w:rPr>
          <w:rFonts w:hint="eastAsia" w:ascii="仿宋" w:hAnsi="仿宋" w:eastAsia="仿宋" w:cs="仿宋"/>
          <w:sz w:val="32"/>
          <w:szCs w:val="32"/>
          <w:lang w:eastAsia="zh-CN"/>
        </w:rPr>
        <w:t xml:space="preserve">  市人民政府应当加强对户外广告和招牌设置工作的领导，协调解决户外广告和招牌设置管理中的重大问题。</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规划和自然资源主管部门负责编制户外广告设置专项规划。       </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行政审批服务主管部门负责大型户外广告设置的许可。</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城市管理主管部门负责户外广告和招牌设置的备案、指导、监督管理和检查。</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市场监督管理主管部门负责户外广告内容发布监督管理和检查。</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交通运输主管部门负责以交通工具为载体的户外广告和公路建筑控制区范围内公路沿线户外广告的设置与管理。</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其他有关部门按照各自职责，负责户外广告和招牌设置的相关管理工作。</w:t>
      </w:r>
    </w:p>
    <w:p>
      <w:pPr>
        <w:spacing w:line="560" w:lineRule="exact"/>
        <w:ind w:firstLine="643" w:firstLineChars="200"/>
        <w:rPr>
          <w:rFonts w:hint="eastAsia" w:ascii="仿宋" w:hAnsi="仿宋" w:eastAsia="仿宋" w:cs="仿宋"/>
          <w:sz w:val="32"/>
          <w:szCs w:val="32"/>
          <w:lang w:eastAsia="zh-CN"/>
        </w:rPr>
      </w:pPr>
      <w:r>
        <w:rPr>
          <w:rFonts w:hint="eastAsia" w:ascii="黑体" w:hAnsi="黑体" w:eastAsia="黑体" w:cs="黑体"/>
          <w:b/>
          <w:bCs/>
          <w:sz w:val="32"/>
          <w:szCs w:val="32"/>
          <w:lang w:eastAsia="zh-CN"/>
        </w:rPr>
        <w:t>第六条</w:t>
      </w:r>
      <w:r>
        <w:rPr>
          <w:rFonts w:hint="eastAsia" w:ascii="仿宋" w:hAnsi="仿宋" w:eastAsia="仿宋" w:cs="仿宋"/>
          <w:sz w:val="32"/>
          <w:szCs w:val="32"/>
          <w:lang w:eastAsia="zh-CN"/>
        </w:rPr>
        <w:t xml:space="preserve">  广告协会、商会等行业组织应当加强行业自律，规范行业标准，营造公平竞争、诚信经营的市场环境。</w:t>
      </w:r>
    </w:p>
    <w:p>
      <w:pPr>
        <w:spacing w:line="560" w:lineRule="exact"/>
        <w:ind w:firstLine="643" w:firstLineChars="200"/>
        <w:rPr>
          <w:rFonts w:hint="eastAsia" w:ascii="仿宋" w:hAnsi="仿宋" w:eastAsia="仿宋" w:cs="仿宋"/>
          <w:sz w:val="32"/>
          <w:szCs w:val="32"/>
          <w:lang w:eastAsia="zh-CN"/>
        </w:rPr>
      </w:pPr>
      <w:r>
        <w:rPr>
          <w:rFonts w:hint="eastAsia" w:ascii="黑体" w:hAnsi="黑体" w:eastAsia="黑体" w:cs="黑体"/>
          <w:b/>
          <w:bCs/>
          <w:sz w:val="32"/>
          <w:szCs w:val="32"/>
          <w:lang w:eastAsia="zh-CN"/>
        </w:rPr>
        <w:t>第七条</w:t>
      </w:r>
      <w:r>
        <w:rPr>
          <w:rFonts w:hint="eastAsia" w:ascii="仿宋" w:hAnsi="仿宋" w:eastAsia="仿宋" w:cs="仿宋"/>
          <w:sz w:val="32"/>
          <w:szCs w:val="32"/>
          <w:lang w:eastAsia="zh-CN"/>
        </w:rPr>
        <w:t xml:space="preserve">  市规划和自然资源主管部门应当按照国土空间规划要求，根据国家、省、市相关标准，本着总量控制、布局合理的原则，组织编制户外广告设置专项规划,报市人民政府批准后予以公布。</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经批准的户外广告设置专项规划不得擅自变更，确需变更的，应当按照原批准程序报请批准。</w:t>
      </w:r>
    </w:p>
    <w:p>
      <w:pPr>
        <w:spacing w:line="560" w:lineRule="exact"/>
        <w:ind w:firstLine="643" w:firstLineChars="200"/>
        <w:rPr>
          <w:rFonts w:hint="eastAsia" w:ascii="仿宋" w:hAnsi="仿宋" w:eastAsia="仿宋" w:cs="仿宋"/>
          <w:sz w:val="32"/>
          <w:szCs w:val="32"/>
          <w:lang w:eastAsia="zh-CN"/>
        </w:rPr>
      </w:pPr>
      <w:r>
        <w:rPr>
          <w:rFonts w:hint="eastAsia" w:ascii="黑体" w:hAnsi="黑体" w:eastAsia="黑体" w:cs="黑体"/>
          <w:b/>
          <w:bCs/>
          <w:sz w:val="32"/>
          <w:szCs w:val="32"/>
          <w:lang w:eastAsia="zh-CN"/>
        </w:rPr>
        <w:t>第八条</w:t>
      </w:r>
      <w:r>
        <w:rPr>
          <w:rFonts w:hint="eastAsia" w:ascii="仿宋" w:hAnsi="仿宋" w:eastAsia="仿宋" w:cs="仿宋"/>
          <w:sz w:val="32"/>
          <w:szCs w:val="32"/>
          <w:lang w:eastAsia="zh-CN"/>
        </w:rPr>
        <w:t xml:space="preserve">  户外广告设置专项规划应当符合国土空间规划，与道路交通和城市容貌标准相衔接，划定户外广告禁设区、许设区、限设区，确定户外广告设施的设置地点、形式、规格及商业广告与公益广告的空间配比等。 </w:t>
      </w:r>
    </w:p>
    <w:p>
      <w:pPr>
        <w:spacing w:line="560" w:lineRule="exact"/>
        <w:ind w:firstLine="643" w:firstLineChars="200"/>
        <w:rPr>
          <w:rFonts w:hint="eastAsia" w:ascii="仿宋" w:hAnsi="仿宋" w:eastAsia="仿宋" w:cs="仿宋"/>
          <w:sz w:val="32"/>
          <w:szCs w:val="32"/>
          <w:lang w:eastAsia="zh-CN"/>
        </w:rPr>
      </w:pPr>
      <w:r>
        <w:rPr>
          <w:rFonts w:hint="eastAsia" w:ascii="黑体" w:hAnsi="黑体" w:eastAsia="黑体" w:cs="黑体"/>
          <w:b/>
          <w:bCs/>
          <w:sz w:val="32"/>
          <w:szCs w:val="32"/>
          <w:lang w:eastAsia="zh-CN"/>
        </w:rPr>
        <w:t>第九条</w:t>
      </w:r>
      <w:r>
        <w:rPr>
          <w:rFonts w:hint="eastAsia" w:ascii="仿宋" w:hAnsi="仿宋" w:eastAsia="仿宋" w:cs="仿宋"/>
          <w:sz w:val="32"/>
          <w:szCs w:val="32"/>
          <w:lang w:eastAsia="zh-CN"/>
        </w:rPr>
        <w:t xml:space="preserve">  编制户外广告专项规划应当采取听证会、论证会或者其他方式，征求行业组织、专家、社会公众、相关部门的意见和建议，并向社会公示。</w:t>
      </w:r>
    </w:p>
    <w:p>
      <w:pPr>
        <w:spacing w:line="560" w:lineRule="exact"/>
        <w:ind w:firstLine="643" w:firstLineChars="200"/>
        <w:rPr>
          <w:rFonts w:hint="eastAsia" w:ascii="仿宋" w:hAnsi="仿宋" w:eastAsia="仿宋" w:cs="仿宋"/>
          <w:sz w:val="32"/>
          <w:szCs w:val="32"/>
          <w:lang w:eastAsia="zh-CN"/>
        </w:rPr>
      </w:pPr>
      <w:r>
        <w:rPr>
          <w:rFonts w:hint="eastAsia" w:ascii="黑体" w:hAnsi="黑体" w:eastAsia="黑体" w:cs="黑体"/>
          <w:b/>
          <w:bCs/>
          <w:sz w:val="32"/>
          <w:szCs w:val="32"/>
          <w:lang w:eastAsia="zh-CN"/>
        </w:rPr>
        <w:t>第十条</w:t>
      </w:r>
      <w:r>
        <w:rPr>
          <w:rFonts w:hint="eastAsia" w:ascii="仿宋" w:hAnsi="仿宋" w:eastAsia="仿宋" w:cs="仿宋"/>
          <w:sz w:val="32"/>
          <w:szCs w:val="32"/>
          <w:lang w:eastAsia="zh-CN"/>
        </w:rPr>
        <w:t xml:space="preserve">  市城市管理主管部门应当会同市规划和自然资源主管部门编制户外广告和招牌设置导则，并予以公布。</w:t>
      </w:r>
    </w:p>
    <w:p>
      <w:pPr>
        <w:spacing w:line="560" w:lineRule="exact"/>
        <w:ind w:firstLine="643" w:firstLineChars="200"/>
        <w:rPr>
          <w:rFonts w:hint="eastAsia" w:ascii="仿宋" w:hAnsi="仿宋" w:eastAsia="仿宋" w:cs="仿宋"/>
          <w:sz w:val="32"/>
          <w:szCs w:val="32"/>
          <w:lang w:eastAsia="zh-CN"/>
        </w:rPr>
      </w:pPr>
      <w:r>
        <w:rPr>
          <w:rFonts w:hint="eastAsia" w:ascii="黑体" w:hAnsi="黑体" w:eastAsia="黑体" w:cs="黑体"/>
          <w:b/>
          <w:bCs/>
          <w:sz w:val="32"/>
          <w:szCs w:val="32"/>
          <w:lang w:eastAsia="zh-CN"/>
        </w:rPr>
        <w:t xml:space="preserve">第十一条 </w:t>
      </w:r>
      <w:r>
        <w:rPr>
          <w:rFonts w:hint="eastAsia" w:ascii="仿宋" w:hAnsi="仿宋" w:eastAsia="仿宋" w:cs="仿宋"/>
          <w:sz w:val="32"/>
          <w:szCs w:val="32"/>
          <w:lang w:eastAsia="zh-CN"/>
        </w:rPr>
        <w:t xml:space="preserve"> 设置户外广告应当符合户外广告设置专项规划、技术规范、设置导则和城市容貌标准，符合城市景观和夜景亮化要求。</w:t>
      </w:r>
    </w:p>
    <w:p>
      <w:pPr>
        <w:spacing w:line="560" w:lineRule="exact"/>
        <w:ind w:firstLine="643" w:firstLineChars="200"/>
        <w:rPr>
          <w:rFonts w:hint="eastAsia" w:ascii="仿宋" w:hAnsi="仿宋" w:eastAsia="仿宋" w:cs="仿宋"/>
          <w:sz w:val="32"/>
          <w:szCs w:val="32"/>
          <w:lang w:eastAsia="zh-CN"/>
        </w:rPr>
      </w:pPr>
      <w:r>
        <w:rPr>
          <w:rFonts w:hint="eastAsia" w:ascii="黑体" w:hAnsi="黑体" w:eastAsia="黑体" w:cs="黑体"/>
          <w:b/>
          <w:bCs/>
          <w:sz w:val="32"/>
          <w:szCs w:val="32"/>
          <w:lang w:eastAsia="zh-CN"/>
        </w:rPr>
        <w:t>第十二条</w:t>
      </w:r>
      <w:r>
        <w:rPr>
          <w:rFonts w:hint="eastAsia" w:ascii="仿宋" w:hAnsi="仿宋" w:eastAsia="仿宋" w:cs="仿宋"/>
          <w:sz w:val="32"/>
          <w:szCs w:val="32"/>
          <w:lang w:eastAsia="zh-CN"/>
        </w:rPr>
        <w:t xml:space="preserve">  以光电等形式设置的户外广告，除符合本办法第十一条规定外，还应当符合下列规定:</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（一）不得影响行车安全，不得产生影响正常生活秩序的光污染、噪声污染、电磁辐射等污染；</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（二）除公共信息电子显示屏外，不得在禁设区内设置；</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（三）依附于建筑物的电子显示屏面积应根据建筑结构特征及周边环境确定，设置高度不超过建筑物顶部；</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（四）符合城市照明管理要求和电子显示屏亮度控制标准，安装亮度调节装置，开闭时间符合有关管理规定。</w:t>
      </w:r>
    </w:p>
    <w:p>
      <w:pPr>
        <w:spacing w:line="560" w:lineRule="exact"/>
        <w:ind w:firstLine="643" w:firstLineChars="200"/>
        <w:rPr>
          <w:rFonts w:hint="eastAsia" w:ascii="仿宋" w:hAnsi="仿宋" w:eastAsia="仿宋" w:cs="仿宋"/>
          <w:sz w:val="32"/>
          <w:szCs w:val="32"/>
          <w:lang w:eastAsia="zh-CN"/>
        </w:rPr>
      </w:pPr>
      <w:r>
        <w:rPr>
          <w:rFonts w:hint="eastAsia" w:ascii="黑体" w:hAnsi="黑体" w:eastAsia="黑体" w:cs="黑体"/>
          <w:b/>
          <w:bCs/>
          <w:sz w:val="32"/>
          <w:szCs w:val="32"/>
          <w:lang w:eastAsia="zh-CN"/>
        </w:rPr>
        <w:t>第十三条</w:t>
      </w:r>
      <w:r>
        <w:rPr>
          <w:rFonts w:hint="eastAsia" w:ascii="仿宋" w:hAnsi="仿宋" w:eastAsia="仿宋" w:cs="仿宋"/>
          <w:sz w:val="32"/>
          <w:szCs w:val="32"/>
          <w:lang w:eastAsia="zh-CN"/>
        </w:rPr>
        <w:t xml:space="preserve">  有下列情形之一的，禁止设置户外广告:</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（一）利用国家机关、学校、住宅、文物保护单位的建筑、纪念性建筑、有代表性的近代建筑或者市人民政府确定的标志性建筑及在其建筑控制地带的;</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（二）利用交通信号设施、交通指路牌、交通标志牌、交通执勤岗设施、道路隔离栏、人行天桥护栏、高架轨道隔声窗（墙）、道路及桥梁防撞墙与隔声窗（墙）的；</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（三）利用建筑物屋顶、危房或者危及建筑物安全的;</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（四）影响市政公共设施、交通安全设施、交通标志使用，遮挡消防救援口的；</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（五）延伸扩展至道路上方或者跨越道路的;</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（六）利用行道树或者侵占绿地、游园、河道、湖泊、湿地的;</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（七）妨碍居民正常生活，损害城市容貌或者建筑物形象的;</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（八）法律、法规、规章和相关标准规定的其他情形。</w:t>
      </w:r>
    </w:p>
    <w:p>
      <w:pPr>
        <w:spacing w:line="560" w:lineRule="exact"/>
        <w:ind w:firstLine="643" w:firstLineChars="200"/>
        <w:rPr>
          <w:rFonts w:hint="eastAsia" w:ascii="仿宋" w:hAnsi="仿宋" w:eastAsia="仿宋" w:cs="仿宋"/>
          <w:sz w:val="32"/>
          <w:szCs w:val="32"/>
          <w:lang w:eastAsia="zh-CN"/>
        </w:rPr>
      </w:pPr>
      <w:r>
        <w:rPr>
          <w:rFonts w:hint="eastAsia" w:ascii="黑体" w:hAnsi="黑体" w:eastAsia="黑体" w:cs="黑体"/>
          <w:b/>
          <w:bCs/>
          <w:sz w:val="32"/>
          <w:szCs w:val="32"/>
          <w:lang w:eastAsia="zh-CN"/>
        </w:rPr>
        <w:t>第十四条</w:t>
      </w:r>
      <w:r>
        <w:rPr>
          <w:rFonts w:hint="eastAsia" w:ascii="仿宋" w:hAnsi="仿宋" w:eastAsia="仿宋" w:cs="仿宋"/>
          <w:sz w:val="32"/>
          <w:szCs w:val="32"/>
          <w:lang w:eastAsia="zh-CN"/>
        </w:rPr>
        <w:t xml:space="preserve">  招牌的设置应当符合城市容貌标准、设置导则和相关规范，并符合下列规定：</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（一）设置在同一路段或者同一建筑物相邻的招牌，应统一基调和标准，在高度、造型、规格、材质等方面达到比例协调、和谐统一；</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（二）原则上招牌应当按照“一楼一牌、一店一招”设置，多个单位共用一个场所或者一个建筑物内有多个单位的应集中设置；</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（三）设置招牌不得影响建筑物的结构安全和正常使用；</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（四）招牌内容限于宣传本单位的名称、字号、商号、标识。</w:t>
      </w:r>
    </w:p>
    <w:p>
      <w:pPr>
        <w:spacing w:line="560" w:lineRule="exact"/>
        <w:ind w:firstLine="643" w:firstLineChars="200"/>
        <w:rPr>
          <w:rFonts w:hint="eastAsia" w:ascii="仿宋" w:hAnsi="仿宋" w:eastAsia="仿宋" w:cs="仿宋"/>
          <w:sz w:val="32"/>
          <w:szCs w:val="32"/>
          <w:lang w:eastAsia="zh-CN"/>
        </w:rPr>
      </w:pPr>
      <w:r>
        <w:rPr>
          <w:rFonts w:hint="eastAsia" w:ascii="黑体" w:hAnsi="黑体" w:eastAsia="黑体" w:cs="黑体"/>
          <w:b/>
          <w:bCs/>
          <w:sz w:val="32"/>
          <w:szCs w:val="32"/>
          <w:lang w:eastAsia="zh-CN"/>
        </w:rPr>
        <w:t>第十五条</w:t>
      </w:r>
      <w:r>
        <w:rPr>
          <w:rFonts w:hint="eastAsia" w:ascii="仿宋" w:hAnsi="仿宋" w:eastAsia="仿宋" w:cs="仿宋"/>
          <w:sz w:val="32"/>
          <w:szCs w:val="32"/>
          <w:lang w:eastAsia="zh-CN"/>
        </w:rPr>
        <w:t xml:space="preserve">  利用公共建（构）筑物、公共设施、公共场地设置商业性户外广告的，应当通过招标、特许经营等竞争方式出让户外广告位置使用权。</w:t>
      </w:r>
    </w:p>
    <w:p>
      <w:pPr>
        <w:spacing w:line="560" w:lineRule="exact"/>
        <w:ind w:firstLine="643" w:firstLineChars="200"/>
        <w:rPr>
          <w:rFonts w:hint="eastAsia" w:ascii="仿宋" w:hAnsi="仿宋" w:eastAsia="仿宋" w:cs="仿宋"/>
          <w:sz w:val="32"/>
          <w:szCs w:val="32"/>
          <w:lang w:eastAsia="zh-CN"/>
        </w:rPr>
      </w:pPr>
      <w:r>
        <w:rPr>
          <w:rFonts w:hint="eastAsia" w:ascii="黑体" w:hAnsi="黑体" w:eastAsia="黑体" w:cs="黑体"/>
          <w:b/>
          <w:bCs/>
          <w:sz w:val="32"/>
          <w:szCs w:val="32"/>
          <w:lang w:eastAsia="zh-CN"/>
        </w:rPr>
        <w:t>第十六条</w:t>
      </w:r>
      <w:r>
        <w:rPr>
          <w:rFonts w:hint="eastAsia" w:ascii="仿宋" w:hAnsi="仿宋" w:eastAsia="仿宋" w:cs="仿宋"/>
          <w:sz w:val="32"/>
          <w:szCs w:val="32"/>
          <w:lang w:eastAsia="zh-CN"/>
        </w:rPr>
        <w:t xml:space="preserve">  设置大型户外广告应当依法取得许可，并按照户外广告设置许可证上载明的内容进行设置。未经许可，任何单位和个人不得设置大型户外广告。</w:t>
      </w:r>
    </w:p>
    <w:p>
      <w:pPr>
        <w:spacing w:line="560" w:lineRule="exact"/>
        <w:ind w:firstLine="643" w:firstLineChars="200"/>
        <w:rPr>
          <w:rFonts w:hint="eastAsia" w:ascii="仿宋" w:hAnsi="仿宋" w:eastAsia="仿宋" w:cs="仿宋"/>
          <w:sz w:val="32"/>
          <w:szCs w:val="32"/>
          <w:lang w:eastAsia="zh-CN"/>
        </w:rPr>
      </w:pPr>
      <w:r>
        <w:rPr>
          <w:rFonts w:hint="eastAsia" w:ascii="黑体" w:hAnsi="黑体" w:eastAsia="黑体" w:cs="黑体"/>
          <w:b/>
          <w:bCs/>
          <w:sz w:val="32"/>
          <w:szCs w:val="32"/>
          <w:lang w:eastAsia="zh-CN"/>
        </w:rPr>
        <w:t>第十七条</w:t>
      </w:r>
      <w:r>
        <w:rPr>
          <w:rFonts w:hint="eastAsia" w:ascii="仿宋" w:hAnsi="仿宋" w:eastAsia="仿宋" w:cs="仿宋"/>
          <w:sz w:val="32"/>
          <w:szCs w:val="32"/>
          <w:lang w:eastAsia="zh-CN"/>
        </w:rPr>
        <w:t xml:space="preserve">  大型户外广告设置人应当向行政审批服务主管部门提出申请，并提交下列材料：</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（一）大型户外广告设施设置申请表；</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（二）设置人的主体资格材料；</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（三）大型户外广告的设置场地、设施使用权材料；</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（四）大型户外广告设计方案（方案设计、位置图、效果图、制作、安装、维护的技术方案）；</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（五）涉及周边他人重大利益的，需提供四邻意见书；</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（六）法律、法规规定的其他需要提交的材料。</w:t>
      </w:r>
    </w:p>
    <w:p>
      <w:pPr>
        <w:spacing w:line="560" w:lineRule="exact"/>
        <w:ind w:firstLine="643" w:firstLineChars="200"/>
        <w:rPr>
          <w:rFonts w:hint="eastAsia" w:ascii="仿宋" w:hAnsi="仿宋" w:eastAsia="仿宋" w:cs="仿宋"/>
          <w:sz w:val="32"/>
          <w:szCs w:val="32"/>
          <w:lang w:eastAsia="zh-CN"/>
        </w:rPr>
      </w:pPr>
      <w:r>
        <w:rPr>
          <w:rFonts w:hint="eastAsia" w:ascii="黑体" w:hAnsi="黑体" w:eastAsia="黑体" w:cs="黑体"/>
          <w:b/>
          <w:bCs/>
          <w:sz w:val="32"/>
          <w:szCs w:val="32"/>
          <w:lang w:eastAsia="zh-CN"/>
        </w:rPr>
        <w:t xml:space="preserve">第十八条 </w:t>
      </w:r>
      <w:r>
        <w:rPr>
          <w:rFonts w:hint="eastAsia" w:ascii="仿宋" w:hAnsi="仿宋" w:eastAsia="仿宋" w:cs="仿宋"/>
          <w:sz w:val="32"/>
          <w:szCs w:val="32"/>
          <w:lang w:eastAsia="zh-CN"/>
        </w:rPr>
        <w:t xml:space="preserve"> 非大型户外广告、招牌的设置实行备案制，由城市管理主管部门负责。</w:t>
      </w:r>
    </w:p>
    <w:p>
      <w:pPr>
        <w:spacing w:line="560" w:lineRule="exact"/>
        <w:ind w:firstLine="643" w:firstLineChars="200"/>
        <w:rPr>
          <w:rFonts w:hint="eastAsia" w:ascii="仿宋" w:hAnsi="仿宋" w:eastAsia="仿宋" w:cs="仿宋"/>
          <w:sz w:val="32"/>
          <w:szCs w:val="32"/>
          <w:lang w:eastAsia="zh-CN"/>
        </w:rPr>
      </w:pPr>
      <w:r>
        <w:rPr>
          <w:rFonts w:hint="eastAsia" w:ascii="黑体" w:hAnsi="黑体" w:eastAsia="黑体" w:cs="黑体"/>
          <w:b/>
          <w:bCs/>
          <w:sz w:val="32"/>
          <w:szCs w:val="32"/>
          <w:lang w:eastAsia="zh-CN"/>
        </w:rPr>
        <w:t>第十九条</w:t>
      </w:r>
      <w:r>
        <w:rPr>
          <w:rFonts w:hint="eastAsia" w:ascii="仿宋" w:hAnsi="仿宋" w:eastAsia="仿宋" w:cs="仿宋"/>
          <w:sz w:val="32"/>
          <w:szCs w:val="32"/>
          <w:lang w:eastAsia="zh-CN"/>
        </w:rPr>
        <w:t xml:space="preserve">  大型文化、旅游、体育、公益活动、商品交易会、展销会等临时非大型户外广告的设置实行备案制，由城市管理主管部门负责。设置人应当按照活动的期限和地点设置临时非大型户外广告，不得影响市容环境秩序和周边交通，期满后及时撤除。</w:t>
      </w:r>
    </w:p>
    <w:p>
      <w:pPr>
        <w:spacing w:line="560" w:lineRule="exact"/>
        <w:ind w:firstLine="643" w:firstLineChars="200"/>
        <w:rPr>
          <w:rFonts w:hint="eastAsia" w:ascii="仿宋" w:hAnsi="仿宋" w:eastAsia="仿宋" w:cs="仿宋"/>
          <w:sz w:val="32"/>
          <w:szCs w:val="32"/>
          <w:lang w:eastAsia="zh-CN"/>
        </w:rPr>
      </w:pPr>
      <w:r>
        <w:rPr>
          <w:rFonts w:hint="eastAsia" w:ascii="黑体" w:hAnsi="黑体" w:eastAsia="黑体" w:cs="黑体"/>
          <w:b/>
          <w:bCs/>
          <w:sz w:val="32"/>
          <w:szCs w:val="32"/>
          <w:lang w:eastAsia="zh-CN"/>
        </w:rPr>
        <w:t>第二十条</w:t>
      </w:r>
      <w:r>
        <w:rPr>
          <w:rFonts w:hint="eastAsia" w:ascii="仿宋" w:hAnsi="仿宋" w:eastAsia="仿宋" w:cs="仿宋"/>
          <w:sz w:val="32"/>
          <w:szCs w:val="32"/>
          <w:lang w:eastAsia="zh-CN"/>
        </w:rPr>
        <w:t xml:space="preserve">  电子显示类的大型户外广告设置期限不超过五年，其他大型户外广告设置期限不超过三年，临时大型户外广告设置期限不超过三十日。</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大型户外广告设置期限届满需要延期的，设置人应当于期限届满三十日前向原许可机关申请延期，原许可机关应当在期限届满前作出是否准予延期的决定；逾期未作出决定的，视为准予延期。期满后不再设置或者未批准延期的，设置人应当于期限届满之日起十日内自行拆除，并将载体恢复原状。</w:t>
      </w:r>
    </w:p>
    <w:p>
      <w:pPr>
        <w:spacing w:line="560" w:lineRule="exact"/>
        <w:ind w:firstLine="643" w:firstLineChars="200"/>
        <w:rPr>
          <w:rFonts w:hint="eastAsia" w:ascii="仿宋" w:hAnsi="仿宋" w:eastAsia="仿宋" w:cs="仿宋"/>
          <w:sz w:val="32"/>
          <w:szCs w:val="32"/>
          <w:lang w:eastAsia="zh-CN"/>
        </w:rPr>
      </w:pPr>
      <w:r>
        <w:rPr>
          <w:rFonts w:hint="eastAsia" w:ascii="黑体" w:hAnsi="黑体" w:eastAsia="黑体" w:cs="黑体"/>
          <w:b/>
          <w:bCs/>
          <w:sz w:val="32"/>
          <w:szCs w:val="32"/>
          <w:lang w:eastAsia="zh-CN"/>
        </w:rPr>
        <w:t>第二十一条</w:t>
      </w:r>
      <w:r>
        <w:rPr>
          <w:rFonts w:hint="eastAsia" w:ascii="仿宋" w:hAnsi="仿宋" w:eastAsia="仿宋" w:cs="仿宋"/>
          <w:sz w:val="32"/>
          <w:szCs w:val="32"/>
          <w:lang w:eastAsia="zh-CN"/>
        </w:rPr>
        <w:t xml:space="preserve">  因公共利益需要拆除设置期限未满的户外广告，大型户外广告由原许可机关撤回许可，非大型户外广告由城市管理主管部门书面告知设置人。给户外广告设置人造成财产损失的，依法给予补偿。</w:t>
      </w:r>
    </w:p>
    <w:p>
      <w:pPr>
        <w:spacing w:line="560" w:lineRule="exact"/>
        <w:ind w:firstLine="643" w:firstLineChars="200"/>
        <w:rPr>
          <w:rFonts w:hint="eastAsia" w:ascii="仿宋" w:hAnsi="仿宋" w:eastAsia="仿宋" w:cs="仿宋"/>
          <w:sz w:val="32"/>
          <w:szCs w:val="32"/>
          <w:lang w:eastAsia="zh-CN"/>
        </w:rPr>
      </w:pPr>
      <w:r>
        <w:rPr>
          <w:rFonts w:hint="eastAsia" w:ascii="黑体" w:hAnsi="黑体" w:eastAsia="黑体" w:cs="黑体"/>
          <w:b/>
          <w:bCs/>
          <w:sz w:val="32"/>
          <w:szCs w:val="32"/>
          <w:lang w:eastAsia="zh-CN"/>
        </w:rPr>
        <w:t>第二十二条</w:t>
      </w:r>
      <w:r>
        <w:rPr>
          <w:rFonts w:hint="eastAsia" w:ascii="仿宋" w:hAnsi="仿宋" w:eastAsia="仿宋" w:cs="仿宋"/>
          <w:sz w:val="32"/>
          <w:szCs w:val="32"/>
          <w:lang w:eastAsia="zh-CN"/>
        </w:rPr>
        <w:t xml:space="preserve">  户外广告设置人应当按照国家有关规定发布公益广告。</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公益广告应当保持画面、内容完整，不得以公益广告名义变相设计、制作、发布商业广告。</w:t>
      </w:r>
    </w:p>
    <w:p>
      <w:pPr>
        <w:spacing w:line="560" w:lineRule="exact"/>
        <w:ind w:firstLine="643" w:firstLineChars="200"/>
        <w:rPr>
          <w:rFonts w:hint="eastAsia" w:ascii="仿宋" w:hAnsi="仿宋" w:eastAsia="仿宋" w:cs="仿宋"/>
          <w:sz w:val="32"/>
          <w:szCs w:val="32"/>
          <w:lang w:eastAsia="zh-CN"/>
        </w:rPr>
      </w:pPr>
      <w:r>
        <w:rPr>
          <w:rFonts w:hint="eastAsia" w:ascii="黑体" w:hAnsi="黑体" w:eastAsia="黑体" w:cs="黑体"/>
          <w:b/>
          <w:bCs/>
          <w:sz w:val="32"/>
          <w:szCs w:val="32"/>
          <w:lang w:eastAsia="zh-CN"/>
        </w:rPr>
        <w:t>第二十三条</w:t>
      </w:r>
      <w:r>
        <w:rPr>
          <w:rFonts w:hint="eastAsia" w:ascii="仿宋" w:hAnsi="仿宋" w:eastAsia="仿宋" w:cs="仿宋"/>
          <w:sz w:val="32"/>
          <w:szCs w:val="32"/>
          <w:lang w:eastAsia="zh-CN"/>
        </w:rPr>
        <w:t xml:space="preserve">  户外广告和招牌设施的维护、管理由设置人负责。设置人应当加强日常维护管理，保持户外广告和招牌的整洁、完好、美观。户外广告和招牌画面有污损、严重褪色、字体残缺等影响城市容貌的，应当及时维修、更新或更换。</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霓虹灯、电子显示装置、灯箱等具有夜间照明功能的户外广告和招牌设施，应当保持画面显示完整，出现断亮、残缺的，应当及时维护、更换，在修复前应当停止使用。</w:t>
      </w:r>
    </w:p>
    <w:p>
      <w:pPr>
        <w:spacing w:line="560" w:lineRule="exact"/>
        <w:ind w:firstLine="643" w:firstLineChars="200"/>
        <w:rPr>
          <w:rFonts w:hint="eastAsia" w:ascii="仿宋" w:hAnsi="仿宋" w:eastAsia="仿宋" w:cs="仿宋"/>
          <w:sz w:val="32"/>
          <w:szCs w:val="32"/>
          <w:lang w:eastAsia="zh-CN"/>
        </w:rPr>
      </w:pPr>
      <w:r>
        <w:rPr>
          <w:rFonts w:hint="eastAsia" w:ascii="黑体" w:hAnsi="黑体" w:eastAsia="黑体" w:cs="黑体"/>
          <w:b/>
          <w:bCs/>
          <w:sz w:val="32"/>
          <w:szCs w:val="32"/>
          <w:lang w:eastAsia="zh-CN"/>
        </w:rPr>
        <w:t xml:space="preserve">第二十四条 </w:t>
      </w:r>
      <w:r>
        <w:rPr>
          <w:rFonts w:hint="eastAsia" w:ascii="仿宋" w:hAnsi="仿宋" w:eastAsia="仿宋" w:cs="仿宋"/>
          <w:sz w:val="32"/>
          <w:szCs w:val="32"/>
          <w:lang w:eastAsia="zh-CN"/>
        </w:rPr>
        <w:t xml:space="preserve"> 户外广告和招牌设施的安全保障由设置人负责。设置人应当定期对户外广告和招牌进行安全检查，对存在安全隐患的户外广告和招牌，设置人应当立即整修或者拆除。遇暴雨（雪）、雷电、大风等灾害性天气，设置人应当采取安全防范措施。</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户外广告和招牌在安装、维护、更新或者拆除期间，应当在施工现场设置警示标识，采取安全保障措施。</w:t>
      </w:r>
    </w:p>
    <w:p>
      <w:pPr>
        <w:spacing w:line="560" w:lineRule="exact"/>
        <w:ind w:firstLine="643" w:firstLineChars="200"/>
        <w:rPr>
          <w:rFonts w:hint="eastAsia" w:ascii="仿宋" w:hAnsi="仿宋" w:eastAsia="仿宋" w:cs="仿宋"/>
          <w:sz w:val="32"/>
          <w:szCs w:val="32"/>
          <w:lang w:eastAsia="zh-CN"/>
        </w:rPr>
      </w:pPr>
      <w:r>
        <w:rPr>
          <w:rFonts w:hint="eastAsia" w:ascii="黑体" w:hAnsi="黑体" w:eastAsia="黑体" w:cs="黑体"/>
          <w:b/>
          <w:bCs/>
          <w:sz w:val="32"/>
          <w:szCs w:val="32"/>
          <w:lang w:eastAsia="zh-CN"/>
        </w:rPr>
        <w:t>第二十五条</w:t>
      </w:r>
      <w:r>
        <w:rPr>
          <w:rFonts w:hint="eastAsia" w:ascii="仿宋" w:hAnsi="仿宋" w:eastAsia="仿宋" w:cs="仿宋"/>
          <w:sz w:val="32"/>
          <w:szCs w:val="32"/>
          <w:lang w:eastAsia="zh-CN"/>
        </w:rPr>
        <w:t xml:space="preserve">  城市管理主管部门应当加强对户外广告和招牌设置工作的监督检查，及时查处户外广告和招牌设置中的违法行为。</w:t>
      </w:r>
    </w:p>
    <w:p>
      <w:pPr>
        <w:spacing w:line="560" w:lineRule="exact"/>
        <w:ind w:firstLine="643" w:firstLineChars="200"/>
        <w:rPr>
          <w:rFonts w:hint="eastAsia" w:ascii="仿宋" w:hAnsi="仿宋" w:eastAsia="仿宋" w:cs="仿宋"/>
          <w:sz w:val="32"/>
          <w:szCs w:val="32"/>
          <w:lang w:eastAsia="zh-CN"/>
        </w:rPr>
      </w:pPr>
      <w:r>
        <w:rPr>
          <w:rFonts w:hint="eastAsia" w:ascii="黑体" w:hAnsi="黑体" w:eastAsia="黑体" w:cs="黑体"/>
          <w:b/>
          <w:bCs/>
          <w:sz w:val="32"/>
          <w:szCs w:val="32"/>
          <w:lang w:eastAsia="zh-CN"/>
        </w:rPr>
        <w:t>第二十六条</w:t>
      </w:r>
      <w:r>
        <w:rPr>
          <w:rFonts w:hint="eastAsia" w:ascii="仿宋" w:hAnsi="仿宋" w:eastAsia="仿宋" w:cs="仿宋"/>
          <w:sz w:val="32"/>
          <w:szCs w:val="32"/>
          <w:lang w:eastAsia="zh-CN"/>
        </w:rPr>
        <w:t xml:space="preserve">  城市管理主管部门和其他行政主管部门应当建立户外广告和招牌设置的许可、备案信息互通机制，实现信息共享，方便公众查询、监督。</w:t>
      </w:r>
    </w:p>
    <w:p>
      <w:pPr>
        <w:spacing w:line="560" w:lineRule="exact"/>
        <w:ind w:firstLine="643" w:firstLineChars="200"/>
        <w:rPr>
          <w:rFonts w:hint="eastAsia" w:ascii="仿宋" w:hAnsi="仿宋" w:eastAsia="仿宋" w:cs="仿宋"/>
          <w:sz w:val="32"/>
          <w:szCs w:val="32"/>
          <w:lang w:eastAsia="zh-CN"/>
        </w:rPr>
      </w:pPr>
      <w:r>
        <w:rPr>
          <w:rFonts w:hint="eastAsia" w:ascii="黑体" w:hAnsi="黑体" w:eastAsia="黑体" w:cs="黑体"/>
          <w:b/>
          <w:bCs/>
          <w:sz w:val="32"/>
          <w:szCs w:val="32"/>
          <w:lang w:eastAsia="zh-CN"/>
        </w:rPr>
        <w:t>第二十七条</w:t>
      </w:r>
      <w:r>
        <w:rPr>
          <w:rFonts w:hint="eastAsia" w:ascii="仿宋" w:hAnsi="仿宋" w:eastAsia="仿宋" w:cs="仿宋"/>
          <w:sz w:val="32"/>
          <w:szCs w:val="32"/>
          <w:lang w:eastAsia="zh-CN"/>
        </w:rPr>
        <w:t xml:space="preserve">  城市管理主管部门和其他行政主管部门应当建立户外广告和招牌设置举报、投诉处理制度。</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任何单位和个人发现户外广告和招牌设置违法行为，有权向城市管理主管部门和其他行政主管部门举报、投诉；相关部门接到举报、投诉后，应当依法及时处理。</w:t>
      </w:r>
    </w:p>
    <w:p>
      <w:pPr>
        <w:spacing w:line="560" w:lineRule="exact"/>
        <w:ind w:firstLine="643" w:firstLineChars="200"/>
        <w:rPr>
          <w:rFonts w:hint="eastAsia" w:ascii="仿宋" w:hAnsi="仿宋" w:eastAsia="仿宋" w:cs="仿宋"/>
          <w:sz w:val="32"/>
          <w:szCs w:val="32"/>
          <w:lang w:eastAsia="zh-CN"/>
        </w:rPr>
      </w:pPr>
      <w:r>
        <w:rPr>
          <w:rFonts w:hint="eastAsia" w:ascii="黑体" w:hAnsi="黑体" w:eastAsia="黑体" w:cs="黑体"/>
          <w:b/>
          <w:bCs/>
          <w:sz w:val="32"/>
          <w:szCs w:val="32"/>
          <w:lang w:eastAsia="zh-CN"/>
        </w:rPr>
        <w:t>第二十八条</w:t>
      </w:r>
      <w:r>
        <w:rPr>
          <w:rFonts w:hint="eastAsia" w:ascii="仿宋" w:hAnsi="仿宋" w:eastAsia="仿宋" w:cs="仿宋"/>
          <w:sz w:val="32"/>
          <w:szCs w:val="32"/>
          <w:lang w:eastAsia="zh-CN"/>
        </w:rPr>
        <w:t xml:space="preserve">  违反本办法规定，法律、法规、规章已有法律责任规定的，从其规定。</w:t>
      </w:r>
    </w:p>
    <w:p>
      <w:pPr>
        <w:spacing w:line="560" w:lineRule="exact"/>
        <w:ind w:firstLine="643" w:firstLineChars="200"/>
        <w:rPr>
          <w:rFonts w:hint="eastAsia" w:ascii="仿宋" w:hAnsi="仿宋" w:eastAsia="仿宋" w:cs="仿宋"/>
          <w:sz w:val="32"/>
          <w:szCs w:val="32"/>
          <w:lang w:eastAsia="zh-CN"/>
        </w:rPr>
      </w:pPr>
      <w:r>
        <w:rPr>
          <w:rFonts w:hint="eastAsia" w:ascii="黑体" w:hAnsi="黑体" w:eastAsia="黑体" w:cs="黑体"/>
          <w:b/>
          <w:bCs/>
          <w:sz w:val="32"/>
          <w:szCs w:val="32"/>
          <w:lang w:eastAsia="zh-CN"/>
        </w:rPr>
        <w:t>第二十九条</w:t>
      </w:r>
      <w:r>
        <w:rPr>
          <w:rFonts w:hint="eastAsia" w:ascii="仿宋" w:hAnsi="仿宋" w:eastAsia="仿宋" w:cs="仿宋"/>
          <w:sz w:val="32"/>
          <w:szCs w:val="32"/>
          <w:lang w:eastAsia="zh-CN"/>
        </w:rPr>
        <w:t xml:space="preserve">  违反本办法第十六条的规定，未经许可擅自设置大型户外广告的，由城市管理主管部门责令停止违法行为，限期清理、拆除或者采取其他补救措施，并可根据情节，对公民处以五百元以下罚款、对法人和其他组织处以一千元以下罚款。</w:t>
      </w:r>
    </w:p>
    <w:p>
      <w:pPr>
        <w:spacing w:line="560" w:lineRule="exact"/>
        <w:ind w:firstLine="643" w:firstLineChars="200"/>
        <w:rPr>
          <w:rFonts w:hint="eastAsia" w:ascii="仿宋" w:hAnsi="仿宋" w:eastAsia="仿宋" w:cs="仿宋"/>
          <w:sz w:val="32"/>
          <w:szCs w:val="32"/>
          <w:lang w:eastAsia="zh-CN"/>
        </w:rPr>
      </w:pPr>
      <w:r>
        <w:rPr>
          <w:rFonts w:hint="eastAsia" w:ascii="黑体" w:hAnsi="黑体" w:eastAsia="黑体" w:cs="黑体"/>
          <w:b/>
          <w:bCs/>
          <w:sz w:val="32"/>
          <w:szCs w:val="32"/>
          <w:lang w:eastAsia="zh-CN"/>
        </w:rPr>
        <w:t>第三十条</w:t>
      </w:r>
      <w:r>
        <w:rPr>
          <w:rFonts w:hint="eastAsia" w:ascii="仿宋" w:hAnsi="仿宋" w:eastAsia="仿宋" w:cs="仿宋"/>
          <w:sz w:val="32"/>
          <w:szCs w:val="32"/>
          <w:lang w:eastAsia="zh-CN"/>
        </w:rPr>
        <w:t xml:space="preserve">  负有监督管理职责的相关部门及其工作人员，在户外广告和招牌监督管理中玩忽职守、滥用职权、徇私舞弊的，对负有直接责任的主管人员和其他直接责任人员依法给予处分；构成犯罪的，依法追究刑事责任。</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第三十一条</w:t>
      </w:r>
      <w:r>
        <w:rPr>
          <w:rFonts w:hint="eastAsia" w:ascii="仿宋" w:hAnsi="仿宋" w:eastAsia="仿宋" w:cs="仿宋"/>
          <w:sz w:val="32"/>
          <w:szCs w:val="32"/>
          <w:lang w:eastAsia="zh-CN"/>
        </w:rPr>
        <w:t xml:space="preserve">  本办法自2022年3月1日起施行。</w:t>
      </w:r>
    </w:p>
    <w:p>
      <w:pPr>
        <w:spacing w:line="560" w:lineRule="exact"/>
        <w:rPr>
          <w:rFonts w:hint="eastAsia" w:ascii="仿宋" w:hAnsi="仿宋" w:eastAsia="仿宋" w:cs="仿宋"/>
          <w:sz w:val="32"/>
          <w:szCs w:val="32"/>
        </w:rPr>
      </w:pPr>
    </w:p>
    <w:sectPr>
      <w:headerReference r:id="rId3" w:type="default"/>
      <w:footerReference r:id="rId4"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sz w:val="32"/>
        <w:szCs w:val="32"/>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65455" cy="3498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65455" cy="349885"/>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vert="horz" wrap="square" lIns="0" tIns="0" rIns="0" bIns="0" anchor="t" anchorCtr="0" upright="0"/>
                  </wps:wsp>
                </a:graphicData>
              </a:graphic>
            </wp:anchor>
          </w:drawing>
        </mc:Choice>
        <mc:Fallback>
          <w:pict>
            <v:shape id="_x0000_s1026" o:spid="_x0000_s1026" o:spt="202" type="#_x0000_t202" style="position:absolute;left:0pt;margin-top:0pt;height:27.55pt;width:36.65pt;mso-position-horizontal:center;mso-position-horizontal-relative:margin;z-index:251659264;mso-width-relative:page;mso-height-relative:page;" filled="f" stroked="f" coordsize="21600,21600" o:gfxdata="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nbdQTUAAAAAwEAAA8AAAAAAAAAAQAg&#10;AAAAIgAAAGRycy9kb3ducmV2LnhtbFBLAQIUABQAAAAIAIdO4kC8e9KT2QEAAKQDAAAOAAAAAAAA&#10;AAEAIAAAACMBAABkcnMvZTJvRG9jLnhtbFBLBQYAAAAABgAGAFkBAABuBQAAAAA=&#10;">
              <v:fill on="f" focussize="0,0"/>
              <v:stroke on="f"/>
              <v:imagedata o:title=""/>
              <o:lock v:ext="edit" aspectratio="f"/>
              <v:textbox inset="0mm,0mm,0mm,0mm">
                <w:txbxContent>
                  <w:p>
                    <w:pPr>
                      <w:pStyle w:val="3"/>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lang w:val="en-US" w:eastAsia="zh-CN"/>
      </w:rPr>
      <w:tab/>
    </w:r>
  </w:p>
  <w:p>
    <w:pPr>
      <w:pStyle w:val="3"/>
      <w:rPr>
        <w:rFonts w:hint="eastAsia"/>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117475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1007745" y="9413875"/>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1.5pt;margin-top:9.25pt;height:0.15pt;width:442.25pt;z-index:251660288;mso-width-relative:page;mso-height-relative:page;" filled="f" stroked="t" coordsize="21600,21600" o:gfxdata="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Y&#10;sXW70gAAAAcBAAAPAAAAAAAAAAEAIAAAACIAAABkcnMvZG93bnJldi54bWxQSwECFAAUAAAACACH&#10;TuJAV3lTNfEBAAC4AwAADgAAAAAAAAABACAAAAAhAQAAZHJzL2Uyb0RvYy54bWxQSwUGAAAAAAYA&#10;BgBZAQAAhAUAAAAA&#10;">
              <v:fill on="f" focussize="0,0"/>
              <v:stroke weight="1.75pt" color="#005192" joinstyle="round"/>
              <v:imagedata o:title=""/>
              <o:lock v:ext="edit" aspectratio="f"/>
            </v:line>
          </w:pict>
        </mc:Fallback>
      </mc:AlternateContent>
    </w:r>
    <w:r>
      <w:rPr>
        <w:rFonts w:hint="eastAsia"/>
        <w:lang w:val="en-US" w:eastAsia="zh-CN"/>
      </w:rPr>
      <w:tab/>
    </w:r>
  </w:p>
  <w:p>
    <w:pPr>
      <w:pStyle w:val="3"/>
      <w:rPr>
        <w:rFonts w:hint="eastAsia"/>
        <w:lang w:val="en-US" w:eastAsia="zh-CN"/>
      </w:rPr>
    </w:pPr>
  </w:p>
  <w:p>
    <w:pPr>
      <w:pStyle w:val="3"/>
      <w:wordWrap w:val="0"/>
      <w:jc w:val="right"/>
      <w:rPr>
        <w:rFonts w:hint="default"/>
        <w:sz w:val="28"/>
        <w:szCs w:val="28"/>
        <w:lang w:val="en-US"/>
      </w:rPr>
    </w:pPr>
    <w:r>
      <w:rPr>
        <w:rFonts w:hint="eastAsia" w:ascii="宋体" w:hAnsi="宋体" w:cs="宋体"/>
        <w:b/>
        <w:bCs/>
        <w:color w:val="005192"/>
        <w:sz w:val="28"/>
        <w:szCs w:val="28"/>
        <w:lang w:val="en-US" w:eastAsia="zh-CN"/>
      </w:rPr>
      <w:t>晋城市人民政府</w:t>
    </w:r>
    <w:r>
      <w:rPr>
        <w:rFonts w:hint="eastAsia" w:ascii="宋体" w:hAnsi="宋体" w:eastAsia="宋体" w:cs="宋体"/>
        <w:b/>
        <w:bCs/>
        <w:color w:val="005192"/>
        <w:sz w:val="28"/>
        <w:szCs w:val="28"/>
        <w:lang w:val="en-US" w:eastAsia="zh-CN"/>
      </w:rPr>
      <w:t>发布</w:t>
    </w:r>
    <w:r>
      <w:rPr>
        <w:rFonts w:hint="eastAsia" w:ascii="宋体" w:hAnsi="宋体" w:cs="宋体"/>
        <w:b/>
        <w:bCs/>
        <w:color w:val="0000FF"/>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晋城</w:t>
    </w:r>
    <w:r>
      <w:rPr>
        <w:rFonts w:hint="eastAsia" w:ascii="宋体" w:hAnsi="宋体" w:cs="宋体"/>
        <w:b/>
        <w:bCs/>
        <w:color w:val="005192"/>
        <w:sz w:val="32"/>
        <w:szCs w:val="32"/>
        <w:lang w:val="en-US" w:eastAsia="zh-CN"/>
      </w:rPr>
      <w:t>市人民政府</w:t>
    </w:r>
    <w:r>
      <w:rPr>
        <w:rFonts w:hint="eastAsia" w:ascii="宋体" w:hAnsi="宋体" w:eastAsia="宋体" w:cs="宋体"/>
        <w:b/>
        <w:bCs/>
        <w:color w:val="005192"/>
        <w:sz w:val="32"/>
        <w:szCs w:val="32"/>
        <w:lang w:val="en-US" w:eastAsia="zh-CN"/>
      </w:rPr>
      <w:t>规章</w: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lang w:val="en-US" w:eastAsia="zh-CN"/>
      </w:rPr>
    </w:pPr>
    <w:r>
      <w:rPr>
        <w:rFonts w:hint="eastAsia" w:ascii="宋体" w:hAnsi="宋体" w:eastAsia="宋体" w:cs="宋体"/>
        <w:b/>
        <w:bCs/>
        <w:color w:val="005192"/>
        <w:sz w:val="32"/>
      </w:rPr>
      <mc:AlternateContent>
        <mc:Choice Requires="wps">
          <w:drawing>
            <wp:anchor distT="0" distB="0" distL="114300" distR="114300" simplePos="0" relativeHeight="251661312" behindDoc="0" locked="0" layoutInCell="1" allowOverlap="1">
              <wp:simplePos x="0" y="0"/>
              <wp:positionH relativeFrom="column">
                <wp:posOffset>-22860</wp:posOffset>
              </wp:positionH>
              <wp:positionV relativeFrom="paragraph">
                <wp:posOffset>112395</wp:posOffset>
              </wp:positionV>
              <wp:extent cx="5620385" cy="0"/>
              <wp:effectExtent l="0" t="10795" r="18415" b="17780"/>
              <wp:wrapNone/>
              <wp:docPr id="3" name="直接连接符 3"/>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pt;margin-top:8.85pt;height:0pt;width:442.55pt;z-index:251661312;mso-width-relative:page;mso-height-relative:page;" filled="f" stroked="t" coordsize="21600,21600" o:gfxdata="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hDolzTAAAACAEA&#10;AA8AAAAAAAAAAQAgAAAAIgAAAGRycy9kb3ducmV2LnhtbFBLAQIUABQAAAAIAIdO4kAy4RJ15gEA&#10;AKYDAAAOAAAAAAAAAAEAIAAAACIBAABkcnMvZTJvRG9jLnhtbFBLBQYAAAAABgAGAFkBAAB6BQAA&#10;AAA=&#10;">
              <v:fill on="f" focussize="0,0"/>
              <v:stroke weight="1.75pt" color="#005192 [3204]"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EFD0F4"/>
    <w:rsid w:val="003445D6"/>
    <w:rsid w:val="00513497"/>
    <w:rsid w:val="01B81B1F"/>
    <w:rsid w:val="06E035B6"/>
    <w:rsid w:val="07F672AE"/>
    <w:rsid w:val="0A0465D5"/>
    <w:rsid w:val="0B57642E"/>
    <w:rsid w:val="0C205657"/>
    <w:rsid w:val="0C2410E0"/>
    <w:rsid w:val="0FFF5B13"/>
    <w:rsid w:val="1062414F"/>
    <w:rsid w:val="136C4E31"/>
    <w:rsid w:val="14E629C1"/>
    <w:rsid w:val="19F83D95"/>
    <w:rsid w:val="1D1F3F99"/>
    <w:rsid w:val="20B515F3"/>
    <w:rsid w:val="2127683B"/>
    <w:rsid w:val="21F01545"/>
    <w:rsid w:val="2C86552B"/>
    <w:rsid w:val="31293F09"/>
    <w:rsid w:val="33274478"/>
    <w:rsid w:val="41831BC8"/>
    <w:rsid w:val="42D30464"/>
    <w:rsid w:val="456B28EB"/>
    <w:rsid w:val="47DD71EB"/>
    <w:rsid w:val="4BA0310B"/>
    <w:rsid w:val="4C0C2208"/>
    <w:rsid w:val="4C2F09D5"/>
    <w:rsid w:val="4C704308"/>
    <w:rsid w:val="505832AD"/>
    <w:rsid w:val="52591377"/>
    <w:rsid w:val="52BF509F"/>
    <w:rsid w:val="552D4229"/>
    <w:rsid w:val="580E15DF"/>
    <w:rsid w:val="581F7434"/>
    <w:rsid w:val="58871B30"/>
    <w:rsid w:val="61077514"/>
    <w:rsid w:val="62B47227"/>
    <w:rsid w:val="64A85D06"/>
    <w:rsid w:val="653603C7"/>
    <w:rsid w:val="6A105073"/>
    <w:rsid w:val="6E097B0B"/>
    <w:rsid w:val="6E746C58"/>
    <w:rsid w:val="6F2D493A"/>
    <w:rsid w:val="6F7E7426"/>
    <w:rsid w:val="75947170"/>
    <w:rsid w:val="789B4FF7"/>
    <w:rsid w:val="79D067B6"/>
    <w:rsid w:val="7C86358B"/>
    <w:rsid w:val="7D2E03D4"/>
    <w:rsid w:val="7FC27F23"/>
    <w:rsid w:val="BFEFD0F4"/>
    <w:rsid w:val="F7EA7B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2740</Words>
  <Characters>2743</Characters>
  <Lines>0</Lines>
  <Paragraphs>0</Paragraphs>
  <TotalTime>9</TotalTime>
  <ScaleCrop>false</ScaleCrop>
  <LinksUpToDate>false</LinksUpToDate>
  <CharactersWithSpaces>2897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2021-11-03T09:35:00Z</dcterms:created>
  <dc:creator>dt</dc:creator>
  <cp:lastModifiedBy>Administrator</cp:lastModifiedBy>
  <dcterms:modified xsi:type="dcterms:W3CDTF">2023-08-16T03:36:27Z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B76E02E3F9334422829E81548108005A</vt:lpwstr>
  </property>
</Properties>
</file>