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782A6">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渔业船舶登记办事</w:t>
      </w:r>
      <w:r>
        <w:rPr>
          <w:rFonts w:hint="eastAsia" w:ascii="方正小标宋简体" w:hAnsi="方正小标宋简体" w:eastAsia="方正小标宋简体" w:cs="方正小标宋简体"/>
          <w:sz w:val="32"/>
          <w:szCs w:val="32"/>
          <w:lang w:eastAsia="zh-CN"/>
        </w:rPr>
        <w:t>服务指南</w:t>
      </w:r>
    </w:p>
    <w:p w14:paraId="672636A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6041265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3BA9AC5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34402DA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部门规章</w:t>
      </w:r>
      <w:r>
        <w:rPr>
          <w:rFonts w:hint="default" w:ascii="仿宋" w:hAnsi="仿宋" w:eastAsia="仿宋" w:cs="仿宋"/>
          <w:sz w:val="32"/>
          <w:szCs w:val="32"/>
          <w:lang w:val="en-US" w:eastAsia="zh-CN"/>
        </w:rPr>
        <w:t>】《中华人民共和国渔业船舶登记办法》</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2012年10月22日农业部令第8号公布,2013年12月31日农业部令第5号修订,并公布施行。</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第三条：农业部主管全国渔业船舶登记工作。中华人民共和国渔政局具体负责全国渔业船舶登记及其监督管理工作。县级以上地方人民政府渔业行政主管部门主管本行政区域内的渔业船舶登记工作。县级以上地方人民政府渔业行政主管部门所属的渔港监督机关（以下称登记机关）依照规定权限负责本行政区域内的渔业船舶登记及其监督管理工作。第六条：渔业船舶所有人应当向户籍所在地或企业注册地的县级以上登记机关申请办理渔业船舶登记。远洋渔业船舶登记由渔业船舶所有人向所在地省级登记机关申请办理。中央在京直属企业所属远洋渔业船舶登记由渔业船舶所有人向船舶所在地的省级登记机关申请办理。</w:t>
      </w:r>
    </w:p>
    <w:p w14:paraId="5ACFC83F">
      <w:pPr>
        <w:keepNext w:val="0"/>
        <w:keepLines w:val="0"/>
        <w:pageBreakBefore w:val="0"/>
        <w:widowControl w:val="0"/>
        <w:numPr>
          <w:numId w:val="0"/>
        </w:numPr>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申请条件</w:t>
      </w:r>
      <w:bookmarkStart w:id="0" w:name="_GoBack"/>
      <w:bookmarkEnd w:id="0"/>
    </w:p>
    <w:p w14:paraId="4398892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1、申请渔业船舶所有权、国籍登记的，需是取得《船网工具指标批准书》、《渔业船舶检验证书》并经审查合格后的渔业船舶。</w:t>
      </w:r>
    </w:p>
    <w:p w14:paraId="6E13F68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2、申请渔业船舶抵押权登记，需是在签订抵押合同等相关法律文件之后并经审查合格的渔业船舶。</w:t>
      </w:r>
    </w:p>
    <w:p w14:paraId="3B83A36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3、申请渔业船舶光船租赁登记，需是在签订光船租赁合同等相关法律文件之后并经审查合格的渔业船舶。</w:t>
      </w:r>
    </w:p>
    <w:p w14:paraId="3EFDB5C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4、申请渔业船舶变更登记，需是登记事项发生变更并经审查合格后的渔业船舶。</w:t>
      </w:r>
    </w:p>
    <w:p w14:paraId="23CFAE8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5、申请渔业船舶注销所有权和国籍登记，需是渔业船舶灭失或失踪、拆解或销毁并经审查合格的渔业船舶。</w:t>
      </w:r>
    </w:p>
    <w:p w14:paraId="634D6B7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6、申请渔业船舶注销抵押权登记，需是船舶抵押合同解除并经审查合格后的渔业船舶。</w:t>
      </w:r>
    </w:p>
    <w:p w14:paraId="5C9F2FC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7、申请渔业船舶注销租赁登记，需是租赁合同期满或租赁关系终止并经审查合格之后的渔业船舶。</w:t>
      </w:r>
    </w:p>
    <w:p w14:paraId="445DBB9E">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04A1093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渔业船舶所有权登记申请表</w:t>
      </w:r>
      <w:r>
        <w:rPr>
          <w:rFonts w:hint="eastAsia" w:ascii="仿宋" w:hAnsi="仿宋" w:eastAsia="仿宋" w:cs="仿宋"/>
          <w:sz w:val="32"/>
          <w:szCs w:val="32"/>
          <w:lang w:val="en-US" w:eastAsia="zh-CN"/>
        </w:rPr>
        <w:t>（原件一份）；</w:t>
      </w:r>
    </w:p>
    <w:p w14:paraId="30B9441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渔业船舶所有人户口簿或企业法人营业执照</w:t>
      </w:r>
      <w:r>
        <w:rPr>
          <w:rFonts w:hint="eastAsia" w:ascii="仿宋" w:hAnsi="仿宋" w:eastAsia="仿宋" w:cs="仿宋"/>
          <w:sz w:val="32"/>
          <w:szCs w:val="32"/>
          <w:lang w:val="en-US" w:eastAsia="zh-CN"/>
        </w:rPr>
        <w:t>（原件一份）；</w:t>
      </w:r>
    </w:p>
    <w:p w14:paraId="2358403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取得渔业船舶所有权的证明文件</w:t>
      </w:r>
      <w:r>
        <w:rPr>
          <w:rFonts w:hint="eastAsia" w:ascii="仿宋" w:hAnsi="仿宋" w:eastAsia="仿宋" w:cs="仿宋"/>
          <w:sz w:val="32"/>
          <w:szCs w:val="32"/>
          <w:lang w:val="en-US" w:eastAsia="zh-CN"/>
        </w:rPr>
        <w:t>（复印件一份）；</w:t>
      </w:r>
    </w:p>
    <w:p w14:paraId="692D3C1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渔业船舶检验证书</w:t>
      </w:r>
      <w:r>
        <w:rPr>
          <w:rFonts w:hint="eastAsia" w:ascii="仿宋" w:hAnsi="仿宋" w:eastAsia="仿宋" w:cs="仿宋"/>
          <w:sz w:val="32"/>
          <w:szCs w:val="32"/>
          <w:lang w:val="en-US" w:eastAsia="zh-CN"/>
        </w:rPr>
        <w:t>（复印件一份）；</w:t>
      </w:r>
    </w:p>
    <w:p w14:paraId="6628039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w:t>
      </w:r>
      <w:r>
        <w:rPr>
          <w:rFonts w:hint="eastAsia" w:ascii="仿宋" w:hAnsi="仿宋" w:eastAsia="仿宋" w:cs="仿宋"/>
          <w:sz w:val="32"/>
          <w:szCs w:val="32"/>
          <w:lang w:eastAsia="zh-CN"/>
        </w:rPr>
        <w:t>渔业船舶船名核定书</w:t>
      </w:r>
      <w:r>
        <w:rPr>
          <w:rFonts w:hint="eastAsia" w:ascii="仿宋" w:hAnsi="仿宋" w:eastAsia="仿宋" w:cs="仿宋"/>
          <w:sz w:val="32"/>
          <w:szCs w:val="32"/>
          <w:lang w:val="en-US" w:eastAsia="zh-CN"/>
        </w:rPr>
        <w:t>（复印件一份）。</w:t>
      </w:r>
    </w:p>
    <w:p w14:paraId="4165514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62A50A4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6C2C111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6A11792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0C7163A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3BCD356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2872D3F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135C1BD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10</w:t>
      </w:r>
      <w:r>
        <w:rPr>
          <w:rFonts w:hint="eastAsia" w:ascii="仿宋" w:hAnsi="仿宋" w:eastAsia="仿宋" w:cs="仿宋"/>
          <w:sz w:val="32"/>
          <w:szCs w:val="32"/>
        </w:rPr>
        <w:t>个工作日。</w:t>
      </w:r>
    </w:p>
    <w:p w14:paraId="145CEDD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2907798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47D5F9D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09691F3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19B3AEC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4EB5392C">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7FEEC71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71D11C3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75351D6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57629859">
      <w:pPr>
        <w:keepNext w:val="0"/>
        <w:keepLines w:val="0"/>
        <w:pageBreakBefore w:val="0"/>
        <w:widowControl w:val="0"/>
        <w:kinsoku/>
        <w:wordWrap/>
        <w:overflowPunct/>
        <w:topLinePunct w:val="0"/>
        <w:autoSpaceDE/>
        <w:autoSpaceDN/>
        <w:bidi w:val="0"/>
        <w:adjustRightInd/>
        <w:snapToGrid/>
        <w:spacing w:line="520" w:lineRule="exact"/>
        <w:textAlignment w:val="auto"/>
      </w:pPr>
    </w:p>
    <w:p w14:paraId="4C2CC4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1D161873"/>
    <w:rsid w:val="2455553F"/>
    <w:rsid w:val="339B0FF2"/>
    <w:rsid w:val="41A512AB"/>
    <w:rsid w:val="460D7146"/>
    <w:rsid w:val="6C3E5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qFormat/>
    <w:uiPriority w:val="0"/>
    <w:rPr>
      <w:color w:val="333333"/>
      <w:sz w:val="21"/>
      <w:szCs w:val="21"/>
      <w:u w:val="none"/>
    </w:rPr>
  </w:style>
  <w:style w:type="character" w:styleId="6">
    <w:name w:val="Hyperlink"/>
    <w:basedOn w:val="4"/>
    <w:qFormat/>
    <w:uiPriority w:val="0"/>
    <w:rPr>
      <w:color w:val="333333"/>
      <w:sz w:val="21"/>
      <w:szCs w:val="21"/>
      <w:u w:val="none"/>
    </w:rPr>
  </w:style>
  <w:style w:type="character" w:customStyle="1" w:styleId="7">
    <w:name w:val="layui-laypage-curr"/>
    <w:basedOn w:val="4"/>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832</Words>
  <Characters>867</Characters>
  <Lines>0</Lines>
  <Paragraphs>0</Paragraphs>
  <TotalTime>0</TotalTime>
  <ScaleCrop>false</ScaleCrop>
  <LinksUpToDate>false</LinksUpToDate>
  <CharactersWithSpaces>873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2024-09-05T08:37:40Z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