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166D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方正小标宋简体" w:hAnsi="方正小标宋简体" w:eastAsia="方正小标宋简体" w:cs="方正小标宋简体"/>
          <w:sz w:val="36"/>
          <w:szCs w:val="36"/>
          <w:lang w:eastAsia="zh-CN"/>
        </w:rPr>
        <w:t>河道采砂许可审批服务指南</w:t>
      </w:r>
    </w:p>
    <w:p w14:paraId="209F8384">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470071D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自然人和法人</w:t>
      </w:r>
      <w:r>
        <w:rPr>
          <w:rFonts w:hint="eastAsia" w:ascii="仿宋_GB2312" w:hAnsi="仿宋_GB2312" w:eastAsia="仿宋_GB2312" w:cs="仿宋_GB2312"/>
          <w:sz w:val="32"/>
          <w:szCs w:val="32"/>
          <w:lang w:val="en-US" w:eastAsia="zh-CN"/>
        </w:rPr>
        <w:t xml:space="preserve"> </w:t>
      </w:r>
    </w:p>
    <w:p w14:paraId="3AA6351D">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49671D4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【法律】《中华人民共和国水法》（2016年修正）第三十九条：国家实行河道采砂许可制度。河道采砂许可制度实施办法，由国务院规定。</w:t>
      </w:r>
    </w:p>
    <w:p w14:paraId="7B0801A7">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行政法规】《中华人民共和国河道管理条例》（国务院令第588号，2018年修正）第二十五条：在河道管理范围内进行下列活动，必须报经河道主管机关批准；涉及其他部门的，由河道主管机关会同有关部门批准：</w:t>
      </w:r>
      <w:bookmarkStart w:id="1" w:name="_GoBack"/>
      <w:bookmarkStart w:id="0" w:name="OLE_LINK1"/>
      <w:r>
        <w:rPr>
          <w:rFonts w:hint="default" w:ascii="仿宋" w:hAnsi="仿宋" w:eastAsia="仿宋" w:cs="仿宋"/>
          <w:sz w:val="32"/>
          <w:szCs w:val="32"/>
          <w:lang w:val="en-US" w:eastAsia="zh-CN"/>
        </w:rPr>
        <w:t>（一）采砂、取土、淘金、弃置砂石或者淤泥；</w:t>
      </w:r>
      <w:r>
        <w:rPr>
          <w:rFonts w:hint="eastAsia" w:ascii="仿宋" w:hAnsi="仿宋" w:eastAsia="仿宋" w:cs="仿宋"/>
          <w:sz w:val="32"/>
          <w:szCs w:val="32"/>
          <w:lang w:val="en-US" w:eastAsia="zh-CN"/>
        </w:rPr>
        <w:t>（二）</w:t>
      </w:r>
      <w:r>
        <w:rPr>
          <w:rFonts w:hint="default" w:ascii="仿宋" w:hAnsi="仿宋" w:eastAsia="仿宋" w:cs="仿宋"/>
          <w:sz w:val="32"/>
          <w:szCs w:val="32"/>
          <w:lang w:val="en-US" w:eastAsia="zh-CN"/>
        </w:rPr>
        <w:t>爆破、钻探、挖筑鱼塘；</w:t>
      </w:r>
      <w:r>
        <w:rPr>
          <w:rFonts w:hint="eastAsia" w:ascii="仿宋" w:hAnsi="仿宋" w:eastAsia="仿宋" w:cs="仿宋"/>
          <w:sz w:val="32"/>
          <w:szCs w:val="32"/>
          <w:lang w:val="en-US" w:eastAsia="zh-CN"/>
        </w:rPr>
        <w:t>（三）在河道滩地存放物料、修建厂房或者其他建筑设施；（四）在河道滩地开采地下资源及进行考古发掘。</w:t>
      </w:r>
      <w:bookmarkEnd w:id="0"/>
    </w:p>
    <w:bookmarkEnd w:id="1"/>
    <w:p w14:paraId="48CC78C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三、申请条件</w:t>
      </w:r>
    </w:p>
    <w:p w14:paraId="2187E99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1.符合批复的采砂规划和年度实施方案关于开采范围、采砂控制总量、可采期等要求。 2.采砂作业方式符合生态环境和安全生产的要求。 3.有符合要求的采砂设备和采砂技术人员。 4.砂石堆放、弃料处置、河道修复方案符合要求。 5.无非法采砂失信行为和不良记录。</w:t>
      </w:r>
    </w:p>
    <w:p w14:paraId="05C77BD6">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364395D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河道管理范围内建设项目申请书</w:t>
      </w:r>
      <w:r>
        <w:rPr>
          <w:rFonts w:hint="eastAsia" w:ascii="仿宋" w:hAnsi="仿宋" w:eastAsia="仿宋" w:cs="仿宋"/>
          <w:sz w:val="32"/>
          <w:szCs w:val="32"/>
          <w:lang w:eastAsia="zh-CN"/>
        </w:rPr>
        <w:t>（原件一份）；</w:t>
      </w:r>
    </w:p>
    <w:p w14:paraId="31CF31A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建设项目所依据的文件</w:t>
      </w:r>
      <w:r>
        <w:rPr>
          <w:rFonts w:hint="eastAsia" w:ascii="仿宋" w:hAnsi="仿宋" w:eastAsia="仿宋" w:cs="仿宋"/>
          <w:sz w:val="32"/>
          <w:szCs w:val="32"/>
          <w:lang w:eastAsia="zh-CN"/>
        </w:rPr>
        <w:t>（复印件一份）；</w:t>
      </w:r>
    </w:p>
    <w:p w14:paraId="4F9E5D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建设项目涉及河道与防洪部分的方案</w:t>
      </w:r>
      <w:r>
        <w:rPr>
          <w:rFonts w:hint="eastAsia" w:ascii="仿宋" w:hAnsi="仿宋" w:eastAsia="仿宋" w:cs="仿宋"/>
          <w:sz w:val="32"/>
          <w:szCs w:val="32"/>
          <w:lang w:eastAsia="zh-CN"/>
        </w:rPr>
        <w:t>（复印件一份）</w:t>
      </w:r>
      <w:r>
        <w:rPr>
          <w:rFonts w:hint="eastAsia" w:ascii="仿宋" w:hAnsi="仿宋" w:eastAsia="仿宋" w:cs="仿宋"/>
          <w:sz w:val="32"/>
          <w:szCs w:val="32"/>
          <w:lang w:val="en-US" w:eastAsia="zh-CN"/>
        </w:rPr>
        <w:t>；</w:t>
      </w:r>
    </w:p>
    <w:p w14:paraId="3FA6E1E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建设项目占用河道管理范围内滩地情况及建设项目的防洪标准与防洪措施</w:t>
      </w:r>
      <w:r>
        <w:rPr>
          <w:rFonts w:hint="eastAsia" w:ascii="仿宋" w:hAnsi="仿宋" w:eastAsia="仿宋" w:cs="仿宋"/>
          <w:sz w:val="32"/>
          <w:szCs w:val="32"/>
          <w:lang w:eastAsia="zh-CN"/>
        </w:rPr>
        <w:t>（复印件一份）</w:t>
      </w:r>
      <w:r>
        <w:rPr>
          <w:rFonts w:hint="eastAsia" w:ascii="仿宋" w:hAnsi="仿宋" w:eastAsia="仿宋" w:cs="仿宋"/>
          <w:sz w:val="32"/>
          <w:szCs w:val="32"/>
          <w:lang w:val="en-US" w:eastAsia="zh-CN"/>
        </w:rPr>
        <w:t>；</w:t>
      </w:r>
    </w:p>
    <w:p w14:paraId="2768B71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建设项目对河势变化、堤防安全、河道行洪、河道水质的影响以及拟采取的措施</w:t>
      </w:r>
      <w:r>
        <w:rPr>
          <w:rFonts w:hint="eastAsia" w:ascii="仿宋" w:hAnsi="仿宋" w:eastAsia="仿宋" w:cs="仿宋"/>
          <w:sz w:val="32"/>
          <w:szCs w:val="32"/>
          <w:lang w:eastAsia="zh-CN"/>
        </w:rPr>
        <w:t>（复印件一份）；</w:t>
      </w:r>
    </w:p>
    <w:p w14:paraId="11959B4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对于重要建设项目，建设单位还应编制洪水影响评价报告</w:t>
      </w:r>
      <w:r>
        <w:rPr>
          <w:rFonts w:hint="eastAsia" w:ascii="仿宋" w:hAnsi="仿宋" w:eastAsia="仿宋" w:cs="仿宋"/>
          <w:sz w:val="32"/>
          <w:szCs w:val="32"/>
          <w:lang w:eastAsia="zh-CN"/>
        </w:rPr>
        <w:t>（复印件一份）。</w:t>
      </w:r>
    </w:p>
    <w:p w14:paraId="6C5B0316">
      <w:pPr>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4465AE7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3F9E725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7625ED65">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60C1BE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766CE5D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159DDE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30 </w:t>
      </w:r>
      <w:r>
        <w:rPr>
          <w:rFonts w:hint="eastAsia" w:ascii="仿宋" w:hAnsi="仿宋" w:eastAsia="仿宋" w:cs="仿宋"/>
          <w:sz w:val="32"/>
          <w:szCs w:val="32"/>
        </w:rPr>
        <w:t>个工作日。</w:t>
      </w:r>
    </w:p>
    <w:p w14:paraId="226C1D7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6335D687">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1536F0A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34441ABE">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5692961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7B281AD6">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1BAA45EA">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5D188B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1FC2B51E">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382B0F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1DCFEB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29745DF"/>
    <w:rsid w:val="2B8D7ED9"/>
    <w:rsid w:val="3D0A3933"/>
    <w:rsid w:val="5EAF2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FollowedHyperlink"/>
    <w:basedOn w:val="4"/>
    <w:qFormat/>
    <w:uiPriority w:val="0"/>
    <w:rPr>
      <w:color w:val="333333"/>
      <w:sz w:val="21"/>
      <w:szCs w:val="21"/>
      <w:u w:val="none"/>
    </w:rPr>
  </w:style>
  <w:style w:type="character" w:styleId="6">
    <w:name w:val="Hyperlink"/>
    <w:basedOn w:val="4"/>
    <w:qFormat/>
    <w:uiPriority w:val="0"/>
    <w:rPr>
      <w:color w:val="333333"/>
      <w:sz w:val="21"/>
      <w:szCs w:val="21"/>
      <w:u w:val="none"/>
    </w:rPr>
  </w:style>
  <w:style w:type="character" w:customStyle="1" w:styleId="7">
    <w:name w:val="layui-laypage-cur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793</Words>
  <Characters>830</Characters>
  <Lines>0</Lines>
  <Paragraphs>0</Paragraphs>
  <TotalTime>7</TotalTime>
  <ScaleCrop>false</ScaleCrop>
  <LinksUpToDate>false</LinksUpToDate>
  <CharactersWithSpaces>842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2020-10-02T05:55:00Z</dcterms:created>
  <dc:creator>Administrator</dc:creator>
  <cp:lastModifiedBy>阿杰</cp:lastModifiedBy>
  <dcterms:modified xsi:type="dcterms:W3CDTF">2024-09-05T09:09:45Z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1EA8128AE4A041FAA13E890C916647C9</vt:lpwstr>
  </property>
</Properties>
</file>