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506F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b/>
          <w:bCs/>
          <w:sz w:val="36"/>
          <w:szCs w:val="36"/>
        </w:rPr>
      </w:pPr>
      <w:r>
        <w:rPr>
          <w:rFonts w:hint="eastAsia" w:ascii="方正小标宋简体" w:hAnsi="方正小标宋简体" w:eastAsia="方正小标宋简体" w:cs="方正小标宋简体"/>
          <w:b w:val="0"/>
          <w:bCs/>
          <w:sz w:val="36"/>
          <w:szCs w:val="36"/>
        </w:rPr>
        <w:t>水工程建设规划同意书审核服务指南</w:t>
      </w:r>
    </w:p>
    <w:p w14:paraId="7587F00A">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474F455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64A6C191">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27F336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eastAsia="zh-CN"/>
        </w:rPr>
      </w:pPr>
      <w:bookmarkStart w:id="0" w:name="_GoBack"/>
      <w:bookmarkEnd w:id="0"/>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水法》（2016年修正）第十九条：建设水工程，必须符合流域综合规划。在国家确定的重要江河、湖泊和跨省、自治区、直辖市的江河、湖泊上建设水工程，其工程可行性研究报告报请批准前，有关流域管理机构应当对水工程的建设是否符合流域综合规划进行审查并签署意见；在其他江河、湖泊上建设水工程，其工程可行性研究报告报请批准前，县级以上地方人民政府水行政主管部门应当按照管理权限对水工程的建设是否符合流域综合规划进行审查并签署意见。水工程建设涉及防洪的，依照防洪法的有关规定执行；涉及其他地区和行业的，建设单位应当事先征求有关地区和部门的意见。</w:t>
      </w:r>
    </w:p>
    <w:p w14:paraId="1C6C82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防洪法》（2016年修正）第十七条：在江河、湖泊上建设防洪工程和其他水工程、水电站等，应当符合防洪规划的要求；水库应当按照防洪规划的要求留足防洪库容。前款规定的防洪工程和其他水工程、水电站未取得有关水行政主管部门签署的符合防洪规划要求的规划同意书的，建设单位不得开工建设。</w:t>
      </w:r>
    </w:p>
    <w:p w14:paraId="08FAE2B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EA5E63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1、项目符合国家有关水利法规和政府三定方案，涉及防洪的，符合防洪法及有关规定；</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2、项目符合流域综合规划和区域发展规划；</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3、项目严格按照基本建设程序报审；</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4、申报的水工程建设项目建议书符合《水利水电工程项目建议书编制暂行规定》；可行性研究报告符合《水利水电工程可行性研究报告编制规程》及有关水利规划设计的技术规范和规定。</w:t>
      </w:r>
    </w:p>
    <w:p w14:paraId="6E46FDB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74BD9B8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水工程建设规划同意书申请表</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4D2E357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水工程所依据的规划（相关材料）、文件或专题论证报告等相关资料</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51715FE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拟报批水工程的（预）可行性研究报告（项目申请报告、备案材料）及图纸</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2E58EA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对利害关系人产生的影响及说明</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p>
    <w:p w14:paraId="058C699B">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6A8BAA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A699DC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708A20F7">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DE734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5A99E78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3EA3B5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4C36AC8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08B482B7">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1A18F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5CE348C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C153F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6529B0D7">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3DB2EAC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D15AC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60FC355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D7747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48BA951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4120F6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38BF7C01"/>
    <w:rsid w:val="63880D43"/>
    <w:rsid w:val="6B9C1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576</Words>
  <Characters>600</Characters>
  <Lines>0</Lines>
  <Paragraphs>0</Paragraphs>
  <TotalTime>0</TotalTime>
  <ScaleCrop>false</ScaleCrop>
  <LinksUpToDate>false</LinksUpToDate>
  <CharactersWithSpaces>622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2020-10-02T05:48:00Z</dcterms:created>
  <dc:creator>Administrator</dc:creator>
  <cp:lastModifiedBy>阿杰</cp:lastModifiedBy>
  <dcterms:modified xsi:type="dcterms:W3CDTF">2024-09-05T06:56:46Z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BCC0CFE3B6AE49DB95EB8D7E24A112D9</vt:lpwstr>
  </property>
</Properties>
</file>