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088DB">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在大坝管理和保护范围内修建码头、渔塘许可</w:t>
      </w:r>
    </w:p>
    <w:p w14:paraId="6FD627AF">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办事</w:t>
      </w:r>
      <w:r>
        <w:rPr>
          <w:rFonts w:hint="eastAsia" w:ascii="方正小标宋简体" w:hAnsi="方正小标宋简体" w:eastAsia="方正小标宋简体" w:cs="方正小标宋简体"/>
          <w:sz w:val="32"/>
          <w:szCs w:val="32"/>
          <w:lang w:eastAsia="zh-CN"/>
        </w:rPr>
        <w:t>服务指南</w:t>
      </w:r>
    </w:p>
    <w:p w14:paraId="4370EE6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039467D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2B7A473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7E71CC03">
      <w:pPr>
        <w:keepNext w:val="0"/>
        <w:keepLines w:val="0"/>
        <w:pageBreakBefore w:val="0"/>
        <w:tabs>
          <w:tab w:val="left" w:pos="2080"/>
        </w:tabs>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行政法规】《水库大坝安全管理条例》（国务院令第77号，2018年修正）第十七条：禁止在坝体修建码头、渠道、堆放杂物、晾晒粮草。在大坝管理和保护范围内修建码头、鱼塘的，须经大坝主管部门批准，并与坝脚和泄水、输水建筑物保持一定距离，不得影响大坝安全、工程管理和抢险工作。</w:t>
      </w:r>
    </w:p>
    <w:p w14:paraId="4C443993">
      <w:pPr>
        <w:keepNext w:val="0"/>
        <w:keepLines w:val="0"/>
        <w:pageBreakBefore w:val="0"/>
        <w:widowControl w:val="0"/>
        <w:numPr>
          <w:numId w:val="0"/>
        </w:numPr>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申请条件</w:t>
      </w:r>
    </w:p>
    <w:p w14:paraId="4309FC33">
      <w:pPr>
        <w:keepNext w:val="0"/>
        <w:keepLines w:val="0"/>
        <w:pageBreakBefore w:val="0"/>
        <w:tabs>
          <w:tab w:val="left" w:pos="208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szCs w:val="32"/>
        </w:rPr>
        <w:t>1、符合江河流域综合规划和有关的国土及区域发展规划；</w:t>
      </w:r>
      <w:r>
        <w:rPr>
          <w:rFonts w:hint="default"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rPr>
        <w:t xml:space="preserve">2、符合防洪标准和有关技术规范要求； </w:t>
      </w:r>
      <w:r>
        <w:rPr>
          <w:rFonts w:hint="default"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rPr>
        <w:t xml:space="preserve">3、不妨碍大坝安全、工程管理和防洪抢险； </w:t>
      </w:r>
      <w:r>
        <w:rPr>
          <w:rFonts w:hint="default"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rPr>
        <w:t xml:space="preserve">4、对河道行洪、河势稳定、水流流态、水质、冲淤变化及堤防、护岸和其它水利工程安全的影响较小，且采取相应的补救措施。 </w:t>
      </w:r>
      <w:r>
        <w:rPr>
          <w:rFonts w:hint="default"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rPr>
        <w:t xml:space="preserve">5、码头（鱼塘）对大坝安全影响评价报告应说明对大坝安全的影响以及拟采取的补救措施。 </w:t>
      </w:r>
      <w:r>
        <w:rPr>
          <w:rFonts w:hint="default"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rPr>
        <w:t xml:space="preserve">6、评价报告应依照有关水库大坝安全评价导则有关规定进行编制。 </w:t>
      </w:r>
      <w:r>
        <w:rPr>
          <w:rFonts w:hint="default"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bookmarkStart w:id="0" w:name="_GoBack"/>
      <w:bookmarkEnd w:id="0"/>
      <w:r>
        <w:rPr>
          <w:rFonts w:hint="default" w:ascii="仿宋_GB2312" w:hAnsi="仿宋_GB2312" w:eastAsia="仿宋_GB2312" w:cs="仿宋_GB2312"/>
          <w:sz w:val="32"/>
          <w:szCs w:val="32"/>
        </w:rPr>
        <w:t>7、码头（鱼塘）的设计图纸满足水利水电设计规范要求。</w:t>
      </w:r>
    </w:p>
    <w:p w14:paraId="6A61E931">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2BB39A09">
      <w:pPr>
        <w:keepNext w:val="0"/>
        <w:keepLines w:val="0"/>
        <w:pageBreakBefore w:val="0"/>
        <w:tabs>
          <w:tab w:val="left" w:pos="208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rPr>
        <w:t>在大坝管理和保护范围内修建码头、鱼塘许可申请书</w:t>
      </w:r>
      <w:r>
        <w:rPr>
          <w:rFonts w:hint="eastAsia" w:ascii="仿宋_GB2312" w:hAnsi="仿宋_GB2312" w:eastAsia="仿宋_GB2312" w:cs="仿宋_GB2312"/>
          <w:sz w:val="32"/>
          <w:szCs w:val="32"/>
        </w:rPr>
        <w:t>（一式两份）；</w:t>
      </w:r>
    </w:p>
    <w:p w14:paraId="1E1EC4C2">
      <w:pPr>
        <w:keepNext w:val="0"/>
        <w:keepLines w:val="0"/>
        <w:pageBreakBefore w:val="0"/>
        <w:tabs>
          <w:tab w:val="left" w:pos="208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rPr>
        <w:t>码头（渔塘）对大坝安全影响评价报告</w:t>
      </w:r>
      <w:r>
        <w:rPr>
          <w:rFonts w:hint="eastAsia" w:ascii="仿宋_GB2312" w:hAnsi="仿宋_GB2312" w:eastAsia="仿宋_GB2312" w:cs="仿宋_GB2312"/>
          <w:sz w:val="32"/>
          <w:szCs w:val="32"/>
        </w:rPr>
        <w:t>（一份）；</w:t>
      </w:r>
    </w:p>
    <w:p w14:paraId="0D70309E">
      <w:pPr>
        <w:keepNext w:val="0"/>
        <w:keepLines w:val="0"/>
        <w:pageBreakBefore w:val="0"/>
        <w:tabs>
          <w:tab w:val="left" w:pos="208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rPr>
        <w:t>在大坝管理和保护范围内修建码头（鱼塘）的设计图纸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一份</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p>
    <w:p w14:paraId="21149417">
      <w:pPr>
        <w:keepNext w:val="0"/>
        <w:keepLines w:val="0"/>
        <w:pageBreakBefore w:val="0"/>
        <w:tabs>
          <w:tab w:val="left" w:pos="208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rPr>
        <w:t>可能对第三者合害的，提供与第三者合法水事权法水事权益产生损益协议文件和相关图件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一份</w:t>
      </w:r>
      <w:r>
        <w:rPr>
          <w:rFonts w:hint="eastAsia" w:ascii="仿宋_GB2312" w:hAnsi="仿宋_GB2312" w:eastAsia="仿宋_GB2312" w:cs="仿宋_GB2312"/>
          <w:sz w:val="32"/>
          <w:szCs w:val="32"/>
          <w:lang w:eastAsia="zh-CN"/>
        </w:rPr>
        <w:t>）；</w:t>
      </w:r>
    </w:p>
    <w:p w14:paraId="7D87EE2A">
      <w:pPr>
        <w:keepNext w:val="0"/>
        <w:keepLines w:val="0"/>
        <w:pageBreakBefore w:val="0"/>
        <w:tabs>
          <w:tab w:val="left" w:pos="208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rPr>
        <w:t>技术审查部门出具的技术审查意见及职能部门出具的复核意见</w:t>
      </w:r>
      <w:r>
        <w:rPr>
          <w:rFonts w:hint="eastAsia" w:ascii="仿宋_GB2312" w:hAnsi="仿宋_GB2312" w:eastAsia="仿宋_GB2312" w:cs="仿宋_GB2312"/>
          <w:sz w:val="32"/>
          <w:szCs w:val="32"/>
        </w:rPr>
        <w:t>（一份）；</w:t>
      </w:r>
    </w:p>
    <w:p w14:paraId="10D11143">
      <w:pPr>
        <w:keepNext w:val="0"/>
        <w:keepLines w:val="0"/>
        <w:pageBreakBefore w:val="0"/>
        <w:tabs>
          <w:tab w:val="left" w:pos="208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rPr>
        <w:t>加强大坝工程管理和抢险工作的措施</w:t>
      </w:r>
      <w:r>
        <w:rPr>
          <w:rFonts w:hint="eastAsia" w:ascii="仿宋_GB2312" w:hAnsi="仿宋_GB2312" w:eastAsia="仿宋_GB2312" w:cs="仿宋_GB2312"/>
          <w:sz w:val="32"/>
          <w:szCs w:val="32"/>
        </w:rPr>
        <w:t>（一份）；</w:t>
      </w:r>
    </w:p>
    <w:p w14:paraId="45CA75D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456F05F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593801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05B3EA0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311D707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0EFCC3D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394AEBB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6154522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4DC08C3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505D3D7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41F21C8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7E8A2E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09D101F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4D0C63F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0478838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137D67F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5E721D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18DB0824">
      <w:pPr>
        <w:keepNext w:val="0"/>
        <w:keepLines w:val="0"/>
        <w:pageBreakBefore w:val="0"/>
        <w:widowControl w:val="0"/>
        <w:kinsoku/>
        <w:wordWrap/>
        <w:overflowPunct/>
        <w:topLinePunct w:val="0"/>
        <w:autoSpaceDE/>
        <w:autoSpaceDN/>
        <w:bidi w:val="0"/>
        <w:adjustRightInd/>
        <w:snapToGrid/>
        <w:spacing w:line="520" w:lineRule="exact"/>
        <w:textAlignment w:val="auto"/>
      </w:pPr>
    </w:p>
    <w:p w14:paraId="158080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11E17BF"/>
    <w:rsid w:val="03FC3B57"/>
    <w:rsid w:val="18A57C65"/>
    <w:rsid w:val="2E4E7037"/>
    <w:rsid w:val="363E368C"/>
    <w:rsid w:val="621F491C"/>
    <w:rsid w:val="6C3E53E8"/>
    <w:rsid w:val="7F4A3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FollowedHyperlink"/>
    <w:basedOn w:val="4"/>
    <w:uiPriority w:val="0"/>
    <w:rPr>
      <w:color w:val="333333"/>
      <w:sz w:val="21"/>
      <w:szCs w:val="21"/>
      <w:u w:val="none"/>
      <w:bdr w:val="single" w:color="auto" w:sz="6" w:space="0"/>
      <w:shd w:val="clear" w:fill="FFFFFF"/>
    </w:rPr>
  </w:style>
  <w:style w:type="character" w:styleId="6">
    <w:name w:val="Hyperlink"/>
    <w:basedOn w:val="4"/>
    <w:qFormat/>
    <w:uiPriority w:val="0"/>
    <w:rPr>
      <w:color w:val="333333"/>
      <w:sz w:val="21"/>
      <w:szCs w:val="21"/>
      <w:u w:val="none"/>
    </w:rPr>
  </w:style>
  <w:style w:type="character" w:customStyle="1" w:styleId="7">
    <w:name w:val="layui-laypage-cur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798</Words>
  <Characters>822</Characters>
  <Lines>0</Lines>
  <Paragraphs>0</Paragraphs>
  <TotalTime>4</TotalTime>
  <ScaleCrop>false</ScaleCrop>
  <LinksUpToDate>false</LinksUpToDate>
  <CharactersWithSpaces>834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2024-09-05T07:49:14Z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