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矿藏勘查、开采以及其他各类工程建设占用林地审批</w:t>
      </w:r>
    </w:p>
    <w:p>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服务指南</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《中华人民共和国森林法》</w:t>
      </w:r>
      <w:r>
        <w:rPr>
          <w:rFonts w:hint="eastAsia" w:ascii="仿宋" w:hAnsi="仿宋" w:eastAsia="仿宋" w:cs="仿宋"/>
          <w:sz w:val="32"/>
          <w:szCs w:val="32"/>
          <w:lang w:eastAsia="zh-CN"/>
        </w:rPr>
        <w:t>第</w:t>
      </w:r>
      <w:r>
        <w:rPr>
          <w:rFonts w:hint="eastAsia" w:ascii="仿宋" w:hAnsi="仿宋" w:eastAsia="仿宋" w:cs="仿宋"/>
          <w:sz w:val="32"/>
          <w:szCs w:val="32"/>
          <w:lang w:val="en-US" w:eastAsia="zh-CN"/>
        </w:rPr>
        <w:t>三十七</w:t>
      </w:r>
      <w:r>
        <w:rPr>
          <w:rFonts w:hint="eastAsia" w:ascii="仿宋" w:hAnsi="仿宋" w:eastAsia="仿宋" w:cs="仿宋"/>
          <w:sz w:val="32"/>
          <w:szCs w:val="32"/>
          <w:lang w:eastAsia="zh-CN"/>
        </w:rPr>
        <w:t>条；矿藏勘查、开采以及其他各类工程建设，应当不占或者少占林地；确需占用林地的，应当经县级以上人民政府林业主管部门审核同意，依法办理建设用地审批手续。 占用林地的单位应当缴纳森林植被恢复费。森林植被恢复费征收使用管理办法由国务院财政部门会同林业主管部门制定。 县级以上人民政府林业主管部门应当按照规定安排植树造林，恢复森林植被，植树造林面积不得少于因占用林地而减少的森林植被面积。上级林业主管部门应当定期督促下级林业主管部门组织植树造林、恢复森林植被，并进行检查。</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rPr>
        <w:t>申请条件</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1、建设项目使用林地，符合林地保护利用规划，合理和节约集约利用林地。建设项目限制使用生态区位重要和生态脆弱地区的林地，限制使用天然林和单位面积蓄积量高的林地，限制经营性建设项目使用林地。</w:t>
      </w:r>
      <w:r>
        <w:rPr>
          <w:rFonts w:hint="default" w:ascii="仿宋" w:hAnsi="仿宋" w:eastAsia="仿宋" w:cs="仿宋"/>
          <w:sz w:val="32"/>
          <w:szCs w:val="32"/>
          <w:lang w:eastAsia="zh-CN"/>
        </w:rPr>
        <w:br w:type="textWrapping"/>
      </w:r>
      <w:r>
        <w:rPr>
          <w:rFonts w:hint="default" w:ascii="仿宋" w:hAnsi="仿宋" w:eastAsia="仿宋" w:cs="仿宋"/>
          <w:sz w:val="32"/>
          <w:szCs w:val="32"/>
          <w:lang w:eastAsia="zh-CN"/>
        </w:rPr>
        <w:t>2、建设项目使用林地应当遵守林地分级管理的规定。</w:t>
      </w:r>
      <w:r>
        <w:rPr>
          <w:rFonts w:hint="default" w:ascii="仿宋" w:hAnsi="仿宋" w:eastAsia="仿宋" w:cs="仿宋"/>
          <w:sz w:val="32"/>
          <w:szCs w:val="32"/>
          <w:lang w:eastAsia="zh-CN"/>
        </w:rPr>
        <w:br w:type="textWrapping"/>
      </w:r>
      <w:r>
        <w:rPr>
          <w:rFonts w:hint="default" w:ascii="仿宋" w:hAnsi="仿宋" w:eastAsia="仿宋" w:cs="仿宋"/>
          <w:sz w:val="32"/>
          <w:szCs w:val="32"/>
          <w:lang w:eastAsia="zh-CN"/>
        </w:rPr>
        <w:t>3、符合国家供地政策，对生态环境不会造成重大影响。</w:t>
      </w:r>
      <w:r>
        <w:rPr>
          <w:rFonts w:hint="default" w:ascii="仿宋" w:hAnsi="仿宋" w:eastAsia="仿宋" w:cs="仿宋"/>
          <w:sz w:val="32"/>
          <w:szCs w:val="32"/>
          <w:lang w:eastAsia="zh-CN"/>
        </w:rPr>
        <w:br w:type="textWrapping"/>
      </w:r>
      <w:r>
        <w:rPr>
          <w:rFonts w:hint="default" w:ascii="仿宋" w:hAnsi="仿宋" w:eastAsia="仿宋" w:cs="仿宋"/>
          <w:sz w:val="32"/>
          <w:szCs w:val="32"/>
          <w:lang w:eastAsia="zh-CN"/>
        </w:rPr>
        <w:t>4、架空电力线路、光伏发电、风电场建设项目使用林地，矿产资源开发使用东北、内蒙古重点国有林区林地，应当符合有关政策规定。</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right="0" w:rightChars="0"/>
        <w:jc w:val="both"/>
        <w:textAlignment w:val="auto"/>
        <w:outlineLvl w:val="9"/>
        <w:rPr>
          <w:rFonts w:hint="eastAsia" w:ascii="仿宋_GB2312" w:hAnsi="仿宋_GB2312" w:eastAsia="仿宋_GB2312" w:cs="仿宋_GB2312"/>
          <w:i w:val="0"/>
          <w:caps w:val="0"/>
          <w:color w:val="333333"/>
          <w:spacing w:val="0"/>
          <w:sz w:val="24"/>
          <w:szCs w:val="24"/>
          <w:shd w:val="clear" w:color="auto" w:fill="FFFFFF"/>
          <w:lang w:eastAsia="zh-CN"/>
        </w:rPr>
      </w:pPr>
      <w:r>
        <w:rPr>
          <w:rFonts w:hint="eastAsia" w:ascii="黑体" w:hAnsi="黑体" w:eastAsia="黑体" w:cs="黑体"/>
          <w:sz w:val="32"/>
          <w:szCs w:val="32"/>
          <w:lang w:val="en-US" w:eastAsia="zh-CN"/>
        </w:rPr>
        <w:t>四、申办材料</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default" w:ascii="仿宋" w:hAnsi="仿宋" w:eastAsia="仿宋" w:cs="仿宋"/>
          <w:sz w:val="32"/>
          <w:szCs w:val="32"/>
          <w:lang w:eastAsia="zh-CN"/>
        </w:rPr>
        <w:t>使用林地申请</w:t>
      </w:r>
      <w:r>
        <w:rPr>
          <w:rFonts w:hint="eastAsia" w:ascii="仿宋" w:hAnsi="仿宋" w:eastAsia="仿宋" w:cs="仿宋"/>
          <w:sz w:val="32"/>
          <w:szCs w:val="32"/>
          <w:lang w:val="en-US" w:eastAsia="zh-CN"/>
        </w:rPr>
        <w:t>（原件一份）；</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default" w:ascii="仿宋" w:hAnsi="仿宋" w:eastAsia="仿宋" w:cs="仿宋"/>
          <w:sz w:val="32"/>
          <w:szCs w:val="32"/>
          <w:lang w:eastAsia="zh-CN"/>
        </w:rPr>
        <w:t>项目单位提供的身份材料。</w:t>
      </w:r>
      <w:r>
        <w:rPr>
          <w:rFonts w:hint="eastAsia" w:ascii="仿宋" w:hAnsi="仿宋" w:eastAsia="仿宋" w:cs="仿宋"/>
          <w:sz w:val="32"/>
          <w:szCs w:val="32"/>
          <w:lang w:val="en-US" w:eastAsia="zh-CN"/>
        </w:rPr>
        <w:t>（原件一份）；</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w:t>
      </w:r>
      <w:r>
        <w:rPr>
          <w:rFonts w:hint="default" w:ascii="仿宋" w:hAnsi="仿宋" w:eastAsia="仿宋" w:cs="仿宋"/>
          <w:sz w:val="32"/>
          <w:szCs w:val="32"/>
          <w:lang w:eastAsia="zh-CN"/>
        </w:rPr>
        <w:t>地方林草行政主管部门提供的初步审查意见。</w:t>
      </w:r>
      <w:r>
        <w:rPr>
          <w:rFonts w:hint="eastAsia" w:ascii="仿宋" w:hAnsi="仿宋" w:eastAsia="仿宋" w:cs="仿宋"/>
          <w:sz w:val="32"/>
          <w:szCs w:val="32"/>
          <w:lang w:val="en-US" w:eastAsia="zh-CN"/>
        </w:rPr>
        <w:t>（复印件一份）；</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default" w:ascii="仿宋" w:hAnsi="仿宋" w:eastAsia="仿宋" w:cs="仿宋"/>
          <w:sz w:val="32"/>
          <w:szCs w:val="32"/>
          <w:lang w:eastAsia="zh-CN"/>
        </w:rPr>
        <w:t>项目单位提供的建设项目有关批准文件。</w:t>
      </w:r>
      <w:r>
        <w:rPr>
          <w:rFonts w:hint="eastAsia" w:ascii="仿宋" w:hAnsi="仿宋" w:eastAsia="仿宋" w:cs="仿宋"/>
          <w:sz w:val="32"/>
          <w:szCs w:val="32"/>
          <w:lang w:val="en-US" w:eastAsia="zh-CN"/>
        </w:rPr>
        <w:t>（复印件一份）；</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5.</w:t>
      </w:r>
      <w:r>
        <w:rPr>
          <w:rFonts w:hint="default" w:ascii="仿宋" w:hAnsi="仿宋" w:eastAsia="仿宋" w:cs="仿宋"/>
          <w:sz w:val="32"/>
          <w:szCs w:val="32"/>
          <w:lang w:eastAsia="zh-CN"/>
        </w:rPr>
        <w:t>县级林草行政主管部门提供的现场查验情况</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w:t>
      </w:r>
      <w:r>
        <w:rPr>
          <w:rFonts w:hint="default" w:ascii="仿宋" w:hAnsi="仿宋" w:eastAsia="仿宋" w:cs="仿宋"/>
          <w:sz w:val="32"/>
          <w:szCs w:val="32"/>
          <w:lang w:eastAsia="zh-CN"/>
        </w:rPr>
        <w:t>项目单位提供的建设项目使用林地可行性报告或林地现状调查情况</w:t>
      </w:r>
      <w:r>
        <w:rPr>
          <w:rFonts w:hint="eastAsia" w:ascii="仿宋" w:hAnsi="仿宋" w:eastAsia="仿宋" w:cs="仿宋"/>
          <w:sz w:val="32"/>
          <w:szCs w:val="32"/>
          <w:lang w:val="en-US" w:eastAsia="zh-CN"/>
        </w:rPr>
        <w:t>。</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20</w:t>
      </w:r>
      <w:r>
        <w:rPr>
          <w:rFonts w:hint="eastAsia" w:ascii="仿宋" w:hAnsi="仿宋" w:eastAsia="仿宋" w:cs="仿宋"/>
          <w:sz w:val="32"/>
          <w:szCs w:val="32"/>
        </w:rPr>
        <w:t>个工作日。</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7</w:t>
      </w:r>
      <w:r>
        <w:rPr>
          <w:rFonts w:hint="eastAsia" w:ascii="仿宋" w:hAnsi="仿宋" w:eastAsia="仿宋" w:cs="仿宋"/>
          <w:sz w:val="32"/>
          <w:szCs w:val="32"/>
        </w:rPr>
        <w:t>个工作日。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20" w:lineRule="exact"/>
        <w:textAlignment w:val="auto"/>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iconfont">
    <w:altName w:val="Segoe Print"/>
    <w:panose1 w:val="00000000000000000000"/>
    <w:charset w:val="00"/>
    <w:family w:val="auto"/>
    <w:pitch w:val="default"/>
    <w:sig w:usb0="00000000" w:usb1="00000000" w:usb2="00000000" w:usb3="00000000" w:csb0="00000000" w:csb1="00000000"/>
  </w:font>
  <w:font w:name="layui-icon">
    <w:altName w:val="Segoe Print"/>
    <w:panose1 w:val="00000000000000000000"/>
    <w:charset w:val="00"/>
    <w:family w:val="auto"/>
    <w:pitch w:val="default"/>
    <w:sig w:usb0="00000000" w:usb1="00000000" w:usb2="00000000" w:usb3="00000000" w:csb0="00000000"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67B6"/>
    <w:multiLevelType w:val="singleLevel"/>
    <w:tmpl w:val="301567B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41A512AB"/>
    <w:rsid w:val="5C9D6C34"/>
    <w:rsid w:val="6C3E53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 w:type="character" w:styleId="5">
    <w:name w:val="FollowedHyperlink"/>
    <w:basedOn w:val="4"/>
    <w:uiPriority w:val="0"/>
    <w:rPr>
      <w:color w:val="333333"/>
      <w:sz w:val="21"/>
      <w:szCs w:val="21"/>
      <w:u w:val="none"/>
    </w:rPr>
  </w:style>
  <w:style w:type="character" w:styleId="6">
    <w:name w:val="Hyperlink"/>
    <w:basedOn w:val="4"/>
    <w:uiPriority w:val="0"/>
    <w:rPr>
      <w:color w:val="333333"/>
      <w:sz w:val="21"/>
      <w:szCs w:val="21"/>
      <w:u w:val="none"/>
    </w:rPr>
  </w:style>
  <w:style w:type="character" w:customStyle="1" w:styleId="7">
    <w:name w:val="layui-laypage-curr"/>
    <w:basedOn w:val="4"/>
    <w:uiPriority w:val="0"/>
    <w:rPr>
      <w:bdr w:val="none" w:color="auto" w:sz="0" w:space="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2022-09-05T10:31:00Z</dcterms:created>
  <dc:creator>Administrator</dc:creator>
  <cp:lastModifiedBy>阿杰</cp:lastModifiedBy>
  <dcterms:modified xsi:type="dcterms:W3CDTF">2023-08-25T01:27:51Z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3773C7D14522481CA2639F8D076D83EE</vt:lpwstr>
  </property>
</Properties>
</file>