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C95EB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兽药经营许可办事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服务指南</w:t>
      </w:r>
    </w:p>
    <w:p w14:paraId="722076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申请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对象</w:t>
      </w:r>
    </w:p>
    <w:p w14:paraId="7F96F6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法人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。</w:t>
      </w:r>
    </w:p>
    <w:p w14:paraId="626C96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、设立</w:t>
      </w:r>
      <w:r>
        <w:rPr>
          <w:rFonts w:hint="eastAsia" w:ascii="黑体" w:hAnsi="黑体" w:eastAsia="黑体" w:cs="黑体"/>
          <w:sz w:val="32"/>
          <w:szCs w:val="32"/>
        </w:rPr>
        <w:t>依据</w:t>
      </w:r>
    </w:p>
    <w:p w14:paraId="65E3895A">
      <w:pPr>
        <w:numPr>
          <w:ilvl w:val="0"/>
          <w:numId w:val="0"/>
        </w:numPr>
        <w:tabs>
          <w:tab w:val="left" w:pos="2080"/>
        </w:tabs>
        <w:spacing w:line="500" w:lineRule="exact"/>
        <w:ind w:firstLine="640" w:firstLineChars="200"/>
        <w:rPr>
          <w:rFonts w:hint="default" w:ascii="仿宋_GB2312" w:hAnsi="仿宋_GB2312" w:eastAsia="仿宋_GB2312" w:cs="仿宋_GB2312"/>
          <w:sz w:val="32"/>
          <w:lang w:eastAsia="zh-CN"/>
        </w:rPr>
      </w:pPr>
      <w:r>
        <w:rPr>
          <w:rFonts w:hint="default" w:ascii="仿宋_GB2312" w:hAnsi="仿宋_GB2312" w:eastAsia="仿宋_GB2312" w:cs="仿宋_GB2312"/>
          <w:sz w:val="32"/>
          <w:lang w:eastAsia="zh-CN"/>
        </w:rPr>
        <w:t>【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行政法规</w:t>
      </w:r>
      <w:r>
        <w:rPr>
          <w:rFonts w:hint="default" w:ascii="仿宋_GB2312" w:hAnsi="仿宋_GB2312" w:eastAsia="仿宋_GB2312" w:cs="仿宋_GB2312"/>
          <w:sz w:val="32"/>
          <w:lang w:eastAsia="zh-CN"/>
        </w:rPr>
        <w:t>】《兽药管理条例》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</w:rPr>
        <w:t>国务院令第666号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）</w:t>
      </w:r>
      <w:r>
        <w:rPr>
          <w:rFonts w:hint="default" w:ascii="仿宋_GB2312" w:hAnsi="仿宋_GB2312" w:eastAsia="仿宋_GB2312" w:cs="仿宋_GB2312"/>
          <w:sz w:val="32"/>
          <w:lang w:eastAsia="zh-CN"/>
        </w:rPr>
        <w:t>根据2016年2月6日《国务院关于修改部分行政法规的决定》第二次修订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。</w:t>
      </w:r>
      <w:r>
        <w:rPr>
          <w:rFonts w:hint="default" w:ascii="仿宋_GB2312" w:hAnsi="仿宋_GB2312" w:eastAsia="仿宋_GB2312" w:cs="仿宋_GB2312"/>
          <w:sz w:val="32"/>
          <w:lang w:eastAsia="zh-CN"/>
        </w:rPr>
        <w:t>第二十二条经营兽药的企业，应当具备下列条件： (一)与所经营的兽药相适应的兽药技术人员； (二)与所经营的兽药相适应的营业场所、设备、仓库设施； (三)与所经营的兽药相适应的质量管理机构或者人员； (四)兽药经营质量管理规范规定的其他经营条件。 符合前款规定条件的，申请人方可向市、县人民政府兽医行政管理部门提出申请，并附具符合前款规定条件的证明材料；经营兽用生物制品的，应当向省、自治区、直辖市人民政府兽医行政管理部门提出申请，并附具符合前款规定条件的证明材料。 县级以上地方人民政府兽医行政管理部门，应当自收到申请之日起30个工作日内完成审查。审查合格的，发给兽药经营许可证；不合格的，应当书面通知申请人。 证；不合格的，应当书面通知申请人。</w:t>
      </w:r>
      <w:bookmarkStart w:id="1" w:name="_GoBack"/>
      <w:bookmarkEnd w:id="1"/>
    </w:p>
    <w:p w14:paraId="5A5C3B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申请条件</w:t>
      </w:r>
    </w:p>
    <w:p w14:paraId="3EDDA9A5">
      <w:pPr>
        <w:numPr>
          <w:ilvl w:val="0"/>
          <w:numId w:val="0"/>
        </w:numPr>
        <w:tabs>
          <w:tab w:val="left" w:pos="2080"/>
        </w:tabs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申请人提出新申请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兽药</w:t>
      </w:r>
      <w:r>
        <w:rPr>
          <w:rFonts w:hint="eastAsia" w:ascii="仿宋_GB2312" w:hAnsi="仿宋_GB2312" w:eastAsia="仿宋_GB2312" w:cs="仿宋_GB2312"/>
          <w:sz w:val="32"/>
        </w:rPr>
        <w:t>经营许可，应当符合下列条件：</w:t>
      </w:r>
    </w:p>
    <w:p w14:paraId="417EE709">
      <w:pPr>
        <w:numPr>
          <w:ilvl w:val="0"/>
          <w:numId w:val="0"/>
        </w:numPr>
        <w:tabs>
          <w:tab w:val="left" w:pos="2080"/>
        </w:tabs>
        <w:spacing w:line="500" w:lineRule="exact"/>
        <w:ind w:left="160" w:left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）、</w:t>
      </w:r>
      <w:r>
        <w:rPr>
          <w:rFonts w:hint="eastAsia" w:ascii="仿宋_GB2312" w:hAnsi="仿宋_GB2312" w:eastAsia="仿宋_GB2312" w:cs="仿宋_GB2312"/>
          <w:sz w:val="32"/>
          <w:szCs w:val="32"/>
        </w:rPr>
        <w:t>与所经营的兽药相适应的兽药技术人员;</w:t>
      </w:r>
    </w:p>
    <w:p w14:paraId="3FC8281F">
      <w:pPr>
        <w:numPr>
          <w:ilvl w:val="0"/>
          <w:numId w:val="0"/>
        </w:numPr>
        <w:tabs>
          <w:tab w:val="left" w:pos="2080"/>
        </w:tabs>
        <w:spacing w:line="500" w:lineRule="exact"/>
        <w:ind w:left="160" w:left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）、</w:t>
      </w:r>
      <w:r>
        <w:rPr>
          <w:rFonts w:hint="eastAsia" w:ascii="仿宋_GB2312" w:hAnsi="仿宋_GB2312" w:eastAsia="仿宋_GB2312" w:cs="仿宋_GB2312"/>
          <w:sz w:val="32"/>
          <w:szCs w:val="32"/>
        </w:rPr>
        <w:t>与所经营的兽药相适应的营业场所、设备、仓库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设施;</w:t>
      </w:r>
    </w:p>
    <w:p w14:paraId="05BF189F">
      <w:pPr>
        <w:numPr>
          <w:ilvl w:val="0"/>
          <w:numId w:val="0"/>
        </w:numPr>
        <w:tabs>
          <w:tab w:val="left" w:pos="2080"/>
        </w:tabs>
        <w:spacing w:line="500" w:lineRule="exact"/>
        <w:ind w:left="160" w:left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）、</w:t>
      </w:r>
      <w:r>
        <w:rPr>
          <w:rFonts w:hint="eastAsia" w:ascii="仿宋_GB2312" w:hAnsi="仿宋_GB2312" w:eastAsia="仿宋_GB2312" w:cs="仿宋_GB2312"/>
          <w:sz w:val="32"/>
          <w:szCs w:val="32"/>
        </w:rPr>
        <w:t>与所经营的兽药相适应的质量管理机构或者人员;</w:t>
      </w:r>
    </w:p>
    <w:p w14:paraId="318B3122">
      <w:pPr>
        <w:numPr>
          <w:ilvl w:val="0"/>
          <w:numId w:val="0"/>
        </w:numPr>
        <w:tabs>
          <w:tab w:val="left" w:pos="2080"/>
        </w:tabs>
        <w:spacing w:line="500" w:lineRule="exact"/>
        <w:ind w:left="160" w:leftChars="0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）、</w:t>
      </w:r>
      <w:r>
        <w:rPr>
          <w:rFonts w:hint="eastAsia" w:ascii="仿宋_GB2312" w:hAnsi="仿宋_GB2312" w:eastAsia="仿宋_GB2312" w:cs="仿宋_GB2312"/>
          <w:sz w:val="32"/>
          <w:szCs w:val="32"/>
        </w:rPr>
        <w:t>兽药经营质量管理规范规定的其他经营条件。</w:t>
      </w:r>
    </w:p>
    <w:p w14:paraId="2C9FBA2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2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24"/>
          <w:szCs w:val="24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四、申办材料</w:t>
      </w:r>
    </w:p>
    <w:p w14:paraId="2F3FB68D">
      <w:pPr>
        <w:keepNext w:val="0"/>
        <w:keepLines w:val="0"/>
        <w:pageBreakBefore w:val="0"/>
        <w:tabs>
          <w:tab w:val="left" w:pos="2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1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OLE_LINK1"/>
      <w:r>
        <w:rPr>
          <w:rFonts w:hint="eastAsia" w:ascii="仿宋_GB2312" w:hAnsi="仿宋_GB2312" w:eastAsia="仿宋_GB2312" w:cs="仿宋_GB2312"/>
          <w:sz w:val="32"/>
          <w:szCs w:val="32"/>
        </w:rPr>
        <w:t>（1）.申请人承诺书（一式两份）；</w:t>
      </w:r>
    </w:p>
    <w:p w14:paraId="3E177A40">
      <w:pPr>
        <w:keepNext w:val="0"/>
        <w:keepLines w:val="0"/>
        <w:pageBreakBefore w:val="0"/>
        <w:tabs>
          <w:tab w:val="left" w:pos="2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1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（2）.兽药经营许可证申请表（一份）；</w:t>
      </w:r>
    </w:p>
    <w:p w14:paraId="0B9F6B40">
      <w:pPr>
        <w:keepNext w:val="0"/>
        <w:keepLines w:val="0"/>
        <w:pageBreakBefore w:val="0"/>
        <w:tabs>
          <w:tab w:val="left" w:pos="2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1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.企业负责人、质量管理人员和技术人员的学历、职称证书；</w:t>
      </w:r>
    </w:p>
    <w:p w14:paraId="1E033788">
      <w:pPr>
        <w:keepNext w:val="0"/>
        <w:keepLines w:val="0"/>
        <w:pageBreakBefore w:val="0"/>
        <w:tabs>
          <w:tab w:val="left" w:pos="2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15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经营场所和仓库的平面布局图；</w:t>
      </w:r>
    </w:p>
    <w:p w14:paraId="33B78D13">
      <w:pPr>
        <w:keepNext w:val="0"/>
        <w:keepLines w:val="0"/>
        <w:pageBreakBefore w:val="0"/>
        <w:tabs>
          <w:tab w:val="left" w:pos="2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1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经营场所和</w:t>
      </w:r>
      <w:r>
        <w:rPr>
          <w:rFonts w:hint="eastAsia" w:ascii="仿宋_GB2312" w:hAnsi="仿宋_GB2312" w:eastAsia="仿宋_GB2312" w:cs="仿宋_GB2312"/>
          <w:sz w:val="32"/>
          <w:szCs w:val="32"/>
        </w:rPr>
        <w:t>仓库的产权、租赁合同等材料复印件（一份）；</w:t>
      </w:r>
    </w:p>
    <w:p w14:paraId="1A937D7D">
      <w:pPr>
        <w:keepNext w:val="0"/>
        <w:keepLines w:val="0"/>
        <w:pageBreakBefore w:val="0"/>
        <w:tabs>
          <w:tab w:val="left" w:pos="2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.兽药经营质量管理文件目录（一份）；</w:t>
      </w:r>
    </w:p>
    <w:p w14:paraId="63EA9319">
      <w:pPr>
        <w:keepNext w:val="0"/>
        <w:keepLines w:val="0"/>
        <w:pageBreakBefore w:val="0"/>
        <w:tabs>
          <w:tab w:val="left" w:pos="2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兽药经营质量管理记录样表目录（一份）；</w:t>
      </w:r>
      <w:bookmarkEnd w:id="0"/>
    </w:p>
    <w:p w14:paraId="21D6B6E0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br w:type="page"/>
      </w:r>
    </w:p>
    <w:p w14:paraId="77864F9C">
      <w:pPr>
        <w:keepNext w:val="0"/>
        <w:keepLines w:val="0"/>
        <w:pageBreakBefore w:val="0"/>
        <w:tabs>
          <w:tab w:val="left" w:pos="2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.告知承诺书。</w:t>
      </w:r>
    </w:p>
    <w:p w14:paraId="582DCD8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咨询及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办理方式</w:t>
      </w:r>
    </w:p>
    <w:p w14:paraId="33CC87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陵川县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政务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服务中心三楼综合受理窗口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办理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4CC705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咨询电话：2236039</w:t>
      </w:r>
    </w:p>
    <w:p w14:paraId="0B1617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办理流程</w:t>
      </w:r>
    </w:p>
    <w:p w14:paraId="64E97A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.受理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.审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核</w:t>
      </w:r>
      <w:r>
        <w:rPr>
          <w:rFonts w:hint="eastAsia" w:ascii="仿宋" w:hAnsi="仿宋" w:eastAsia="仿宋" w:cs="仿宋"/>
          <w:sz w:val="32"/>
          <w:szCs w:val="32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.决定→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.办结</w:t>
      </w:r>
    </w:p>
    <w:p w14:paraId="6C5325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办结时限</w:t>
      </w:r>
    </w:p>
    <w:p w14:paraId="54682B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法定时限：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20 </w:t>
      </w:r>
      <w:r>
        <w:rPr>
          <w:rFonts w:hint="eastAsia" w:ascii="仿宋" w:hAnsi="仿宋" w:eastAsia="仿宋" w:cs="仿宋"/>
          <w:sz w:val="32"/>
          <w:szCs w:val="32"/>
        </w:rPr>
        <w:t>个工作日。</w:t>
      </w:r>
    </w:p>
    <w:p w14:paraId="11A075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承诺时限：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个工作日。</w:t>
      </w:r>
    </w:p>
    <w:p w14:paraId="1730D8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收费依据及标准</w:t>
      </w:r>
    </w:p>
    <w:p w14:paraId="393277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不收费。</w:t>
      </w:r>
    </w:p>
    <w:p w14:paraId="4B3A35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监督投诉渠道</w:t>
      </w:r>
    </w:p>
    <w:p w14:paraId="7BCBA7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投诉电话：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6207410</w:t>
      </w:r>
    </w:p>
    <w:p w14:paraId="63A85F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十、</w:t>
      </w:r>
      <w:r>
        <w:rPr>
          <w:rFonts w:hint="eastAsia" w:ascii="黑体" w:hAnsi="黑体" w:eastAsia="黑体" w:cs="黑体"/>
          <w:sz w:val="32"/>
          <w:szCs w:val="32"/>
        </w:rPr>
        <w:t>办公地址和时间</w:t>
      </w:r>
    </w:p>
    <w:p w14:paraId="6F5CB2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办公地址：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陵川县黄围西街陵川县政务服务中心（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县委党校往东50米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 w14:paraId="65F196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办公时间：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周一至周五</w:t>
      </w:r>
      <w:r>
        <w:rPr>
          <w:rFonts w:hint="eastAsia" w:ascii="仿宋" w:hAnsi="仿宋" w:eastAsia="仿宋" w:cs="仿宋"/>
          <w:sz w:val="32"/>
          <w:szCs w:val="32"/>
        </w:rPr>
        <w:t>上午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00</w:t>
      </w:r>
      <w:r>
        <w:rPr>
          <w:rFonts w:hint="eastAsia" w:ascii="仿宋" w:hAnsi="仿宋" w:eastAsia="仿宋" w:cs="仿宋"/>
          <w:sz w:val="32"/>
          <w:szCs w:val="32"/>
        </w:rPr>
        <w:t>下午1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7:00，法定节假日除外。</w:t>
      </w:r>
    </w:p>
    <w:p w14:paraId="518875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十一、</w:t>
      </w:r>
      <w:r>
        <w:rPr>
          <w:rFonts w:hint="eastAsia" w:ascii="黑体" w:hAnsi="黑体" w:eastAsia="黑体" w:cs="黑体"/>
          <w:sz w:val="32"/>
          <w:szCs w:val="32"/>
        </w:rPr>
        <w:t>审批结果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查询及送达</w:t>
      </w:r>
    </w:p>
    <w:p w14:paraId="1739B7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陵川县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政务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服务中心三楼综合受理窗口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查询及领取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相关批复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5F3F63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</w:pPr>
    </w:p>
    <w:p w14:paraId="6B7AD56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RkN2FlYWI3NzAxZTZkM2FkOTFkY2UwMjNmMTE0NjQifQ=="/>
  </w:docVars>
  <w:rsids>
    <w:rsidRoot w:val="00000000"/>
    <w:rsid w:val="03FC3B57"/>
    <w:rsid w:val="18A57C65"/>
    <w:rsid w:val="2E4E7037"/>
    <w:rsid w:val="363E368C"/>
    <w:rsid w:val="4865226F"/>
    <w:rsid w:val="69B27CA6"/>
    <w:rsid w:val="6C3E53E8"/>
    <w:rsid w:val="76196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859</Words>
  <Characters>886</Characters>
  <Lines>0</Lines>
  <Paragraphs>0</Paragraphs>
  <TotalTime>0</TotalTime>
  <ScaleCrop>false</ScaleCrop>
  <LinksUpToDate>false</LinksUpToDate>
  <CharactersWithSpaces>893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2022-09-05T10:31:00Z</dcterms:created>
  <dc:creator>Administrator</dc:creator>
  <cp:lastModifiedBy>阿杰</cp:lastModifiedBy>
  <dcterms:modified xsi:type="dcterms:W3CDTF">2024-09-05T08:17:27Z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3773C7D14522481CA2639F8D076D83EE</vt:lpwstr>
  </property>
</Properties>
</file>