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C35A4">
      <w:pPr>
        <w:spacing w:line="540" w:lineRule="exact"/>
        <w:jc w:val="center"/>
        <w:rPr>
          <w:rFonts w:hint="eastAsia" w:ascii="仿宋_GB2312" w:eastAsia="仿宋_GB2312"/>
          <w:sz w:val="28"/>
          <w:szCs w:val="28"/>
        </w:rPr>
      </w:pPr>
      <w:r>
        <w:rPr>
          <w:rFonts w:hint="eastAsia" w:ascii="宋体" w:hAnsi="宋体"/>
          <w:b/>
          <w:bCs/>
          <w:sz w:val="36"/>
          <w:szCs w:val="36"/>
          <w:lang w:val="en-US" w:eastAsia="zh-CN"/>
        </w:rPr>
        <w:t>山西省</w:t>
      </w:r>
      <w:r>
        <w:rPr>
          <w:rFonts w:hint="eastAsia" w:ascii="宋体" w:hAnsi="宋体"/>
          <w:b/>
          <w:bCs/>
          <w:sz w:val="36"/>
          <w:szCs w:val="36"/>
        </w:rPr>
        <w:t>建设项目招标方案和不招标核准表</w:t>
      </w:r>
    </w:p>
    <w:p w14:paraId="2469FAA6">
      <w:pPr>
        <w:ind w:firstLine="6300" w:firstLineChars="3000"/>
        <w:rPr>
          <w:rFonts w:hint="eastAsia" w:ascii="仿宋_GB2312" w:hAnsi="仿宋_GB2312" w:eastAsia="仿宋_GB2312" w:cs="仿宋_GB2312"/>
          <w:lang w:val="en-US" w:eastAsia="zh-CN"/>
        </w:rPr>
      </w:pPr>
      <w:r>
        <w:rPr>
          <w:rFonts w:hint="eastAsia" w:ascii="仿宋_GB2312" w:hAnsi="仿宋_GB2312" w:eastAsia="仿宋_GB2312" w:cs="仿宋_GB2312"/>
        </w:rPr>
        <w:t>核准号：202</w:t>
      </w:r>
      <w:r>
        <w:rPr>
          <w:rFonts w:hint="eastAsia" w:ascii="仿宋_GB2312" w:hAnsi="仿宋_GB2312" w:eastAsia="仿宋_GB2312" w:cs="仿宋_GB2312"/>
          <w:lang w:val="en-US" w:eastAsia="zh-CN"/>
        </w:rPr>
        <w:t>5</w:t>
      </w:r>
      <w:r>
        <w:rPr>
          <w:rFonts w:hint="eastAsia" w:ascii="仿宋_GB2312" w:hAnsi="仿宋_GB2312" w:eastAsia="仿宋_GB2312" w:cs="仿宋_GB2312"/>
        </w:rPr>
        <w:t>—2</w:t>
      </w:r>
      <w:r>
        <w:rPr>
          <w:rFonts w:hint="eastAsia" w:ascii="仿宋_GB2312" w:hAnsi="仿宋_GB2312" w:eastAsia="仿宋_GB2312" w:cs="仿宋_GB2312"/>
          <w:lang w:val="en-US" w:eastAsia="zh-CN"/>
        </w:rPr>
        <w:t>12</w:t>
      </w:r>
    </w:p>
    <w:tbl>
      <w:tblPr>
        <w:tblStyle w:val="3"/>
        <w:tblW w:w="0" w:type="auto"/>
        <w:tblInd w:w="116" w:type="dxa"/>
        <w:tblLayout w:type="fixed"/>
        <w:tblCellMar>
          <w:top w:w="0" w:type="dxa"/>
          <w:left w:w="108" w:type="dxa"/>
          <w:bottom w:w="0" w:type="dxa"/>
          <w:right w:w="108" w:type="dxa"/>
        </w:tblCellMar>
      </w:tblPr>
      <w:tblGrid>
        <w:gridCol w:w="1627"/>
        <w:gridCol w:w="931"/>
        <w:gridCol w:w="807"/>
        <w:gridCol w:w="727"/>
        <w:gridCol w:w="15"/>
        <w:gridCol w:w="824"/>
        <w:gridCol w:w="749"/>
        <w:gridCol w:w="943"/>
        <w:gridCol w:w="846"/>
        <w:gridCol w:w="943"/>
      </w:tblGrid>
      <w:tr w14:paraId="75F13A77">
        <w:tblPrEx>
          <w:tblCellMar>
            <w:top w:w="0" w:type="dxa"/>
            <w:left w:w="108" w:type="dxa"/>
            <w:bottom w:w="0" w:type="dxa"/>
            <w:right w:w="108" w:type="dxa"/>
          </w:tblCellMar>
        </w:tblPrEx>
        <w:trPr>
          <w:trHeight w:val="847"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7F172AB9">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480" w:type="dxa"/>
            <w:gridSpan w:val="4"/>
            <w:tcBorders>
              <w:top w:val="single" w:color="auto" w:sz="4" w:space="0"/>
              <w:left w:val="nil"/>
              <w:bottom w:val="single" w:color="auto" w:sz="4" w:space="0"/>
              <w:right w:val="single" w:color="auto" w:sz="4" w:space="0"/>
            </w:tcBorders>
            <w:noWrap w:val="0"/>
            <w:vAlign w:val="center"/>
          </w:tcPr>
          <w:p w14:paraId="2DC10D5E">
            <w:pPr>
              <w:spacing w:line="34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陵川县</w:t>
            </w:r>
            <w:r>
              <w:rPr>
                <w:rFonts w:hint="eastAsia" w:ascii="仿宋_GB2312" w:hAnsi="仿宋_GB2312" w:eastAsia="仿宋_GB2312" w:cs="仿宋_GB2312"/>
                <w:sz w:val="21"/>
                <w:szCs w:val="21"/>
                <w:lang w:val="en-US" w:eastAsia="zh-CN"/>
              </w:rPr>
              <w:t>平城镇北召片区2026年特色旅居村</w:t>
            </w:r>
          </w:p>
          <w:p w14:paraId="7567B9F3">
            <w:pPr>
              <w:spacing w:line="34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 w:val="21"/>
                <w:szCs w:val="21"/>
                <w:lang w:val="en-US" w:eastAsia="zh-CN"/>
              </w:rPr>
              <w:t>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51F41CF2">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20707BE0">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平城</w:t>
            </w:r>
            <w:r>
              <w:rPr>
                <w:rFonts w:hint="eastAsia" w:ascii="仿宋_GB2312" w:hAnsi="仿宋_GB2312" w:eastAsia="仿宋_GB2312" w:cs="仿宋_GB2312"/>
                <w:szCs w:val="21"/>
              </w:rPr>
              <w:t>镇政府</w:t>
            </w:r>
          </w:p>
        </w:tc>
      </w:tr>
      <w:tr w14:paraId="7135B77F">
        <w:tblPrEx>
          <w:tblCellMar>
            <w:top w:w="0" w:type="dxa"/>
            <w:left w:w="108" w:type="dxa"/>
            <w:bottom w:w="0" w:type="dxa"/>
            <w:right w:w="108" w:type="dxa"/>
          </w:tblCellMar>
        </w:tblPrEx>
        <w:trPr>
          <w:trHeight w:val="1348" w:hRule="atLeast"/>
        </w:trPr>
        <w:tc>
          <w:tcPr>
            <w:tcW w:w="1627" w:type="dxa"/>
            <w:vMerge w:val="restart"/>
            <w:tcBorders>
              <w:top w:val="nil"/>
              <w:left w:val="single" w:color="auto" w:sz="4" w:space="0"/>
              <w:bottom w:val="single" w:color="auto" w:sz="4" w:space="0"/>
              <w:right w:val="single" w:color="auto" w:sz="4" w:space="0"/>
            </w:tcBorders>
            <w:noWrap w:val="0"/>
            <w:vAlign w:val="center"/>
          </w:tcPr>
          <w:p w14:paraId="595B60DB">
            <w:pPr>
              <w:jc w:val="center"/>
              <w:rPr>
                <w:rFonts w:hint="eastAsia" w:ascii="仿宋_GB2312" w:hAnsi="仿宋_GB2312" w:eastAsia="仿宋_GB2312" w:cs="仿宋_GB2312"/>
                <w:sz w:val="24"/>
              </w:rPr>
            </w:pPr>
          </w:p>
        </w:tc>
        <w:tc>
          <w:tcPr>
            <w:tcW w:w="931" w:type="dxa"/>
            <w:vMerge w:val="restart"/>
            <w:tcBorders>
              <w:top w:val="nil"/>
              <w:left w:val="nil"/>
              <w:bottom w:val="single" w:color="auto" w:sz="4" w:space="0"/>
              <w:right w:val="single" w:color="auto" w:sz="4" w:space="0"/>
            </w:tcBorders>
            <w:noWrap w:val="0"/>
            <w:vAlign w:val="center"/>
          </w:tcPr>
          <w:p w14:paraId="700DDE68">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投资额（万元）</w:t>
            </w:r>
          </w:p>
        </w:tc>
        <w:tc>
          <w:tcPr>
            <w:tcW w:w="1549" w:type="dxa"/>
            <w:gridSpan w:val="3"/>
            <w:tcBorders>
              <w:top w:val="single" w:color="auto" w:sz="4" w:space="0"/>
              <w:left w:val="nil"/>
              <w:bottom w:val="single" w:color="auto" w:sz="4" w:space="0"/>
              <w:right w:val="single" w:color="auto" w:sz="4" w:space="0"/>
            </w:tcBorders>
            <w:noWrap w:val="0"/>
            <w:vAlign w:val="center"/>
          </w:tcPr>
          <w:p w14:paraId="7689FD2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3A1C986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4B49F0A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3EA58E7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384712B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5B939166">
        <w:tblPrEx>
          <w:tblCellMar>
            <w:top w:w="0" w:type="dxa"/>
            <w:left w:w="108" w:type="dxa"/>
            <w:bottom w:w="0" w:type="dxa"/>
            <w:right w:w="108" w:type="dxa"/>
          </w:tblCellMar>
        </w:tblPrEx>
        <w:trPr>
          <w:trHeight w:val="1246" w:hRule="atLeast"/>
        </w:trPr>
        <w:tc>
          <w:tcPr>
            <w:tcW w:w="1627" w:type="dxa"/>
            <w:vMerge w:val="continue"/>
            <w:tcBorders>
              <w:top w:val="nil"/>
              <w:left w:val="single" w:color="auto" w:sz="4" w:space="0"/>
              <w:bottom w:val="single" w:color="auto" w:sz="4" w:space="0"/>
              <w:right w:val="single" w:color="auto" w:sz="4" w:space="0"/>
            </w:tcBorders>
            <w:noWrap w:val="0"/>
            <w:vAlign w:val="center"/>
          </w:tcPr>
          <w:p w14:paraId="6962FBD6">
            <w:pPr>
              <w:widowControl/>
              <w:jc w:val="left"/>
              <w:rPr>
                <w:rFonts w:hint="eastAsia" w:ascii="仿宋_GB2312" w:hAnsi="仿宋_GB2312" w:eastAsia="仿宋_GB2312" w:cs="仿宋_GB2312"/>
                <w:sz w:val="24"/>
              </w:rPr>
            </w:pPr>
          </w:p>
        </w:tc>
        <w:tc>
          <w:tcPr>
            <w:tcW w:w="931" w:type="dxa"/>
            <w:vMerge w:val="continue"/>
            <w:tcBorders>
              <w:top w:val="nil"/>
              <w:left w:val="nil"/>
              <w:bottom w:val="single" w:color="auto" w:sz="4" w:space="0"/>
              <w:right w:val="single" w:color="auto" w:sz="4" w:space="0"/>
            </w:tcBorders>
            <w:noWrap w:val="0"/>
            <w:vAlign w:val="center"/>
          </w:tcPr>
          <w:p w14:paraId="6050C5B2">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6FE84C85">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7EB1E13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524E5EF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5974FF07">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57085A15">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48358E1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5B6FB082">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0551B516">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480E9CDE">
            <w:pPr>
              <w:jc w:val="center"/>
              <w:rPr>
                <w:rFonts w:hint="eastAsia" w:ascii="仿宋_GB2312" w:hAnsi="仿宋_GB2312" w:eastAsia="仿宋_GB2312" w:cs="仿宋_GB2312"/>
                <w:szCs w:val="21"/>
              </w:rPr>
            </w:pPr>
          </w:p>
        </w:tc>
      </w:tr>
      <w:tr w14:paraId="5817C1D4">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630C3E09">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931" w:type="dxa"/>
            <w:tcBorders>
              <w:top w:val="single" w:color="auto" w:sz="4" w:space="0"/>
              <w:left w:val="nil"/>
              <w:bottom w:val="single" w:color="auto" w:sz="4" w:space="0"/>
              <w:right w:val="single" w:color="auto" w:sz="4" w:space="0"/>
            </w:tcBorders>
            <w:noWrap w:val="0"/>
            <w:vAlign w:val="center"/>
          </w:tcPr>
          <w:p w14:paraId="6CE417DF">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18.24</w:t>
            </w:r>
          </w:p>
        </w:tc>
        <w:tc>
          <w:tcPr>
            <w:tcW w:w="807" w:type="dxa"/>
            <w:tcBorders>
              <w:top w:val="single" w:color="auto" w:sz="4" w:space="0"/>
              <w:left w:val="nil"/>
              <w:bottom w:val="single" w:color="auto" w:sz="4" w:space="0"/>
              <w:right w:val="single" w:color="auto" w:sz="4" w:space="0"/>
            </w:tcBorders>
            <w:noWrap w:val="0"/>
            <w:vAlign w:val="center"/>
          </w:tcPr>
          <w:p w14:paraId="4A7A4F9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2A6ECAA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15E1CDC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3AD2FDF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66B7AB5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6CB3C6B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39D64C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1B9CFFBC">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4C32FD40">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931" w:type="dxa"/>
            <w:tcBorders>
              <w:top w:val="single" w:color="auto" w:sz="4" w:space="0"/>
              <w:left w:val="nil"/>
              <w:bottom w:val="single" w:color="auto" w:sz="4" w:space="0"/>
              <w:right w:val="single" w:color="auto" w:sz="4" w:space="0"/>
            </w:tcBorders>
            <w:noWrap w:val="0"/>
            <w:vAlign w:val="center"/>
          </w:tcPr>
          <w:p w14:paraId="3017A63C">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779.31</w:t>
            </w:r>
          </w:p>
        </w:tc>
        <w:tc>
          <w:tcPr>
            <w:tcW w:w="807" w:type="dxa"/>
            <w:tcBorders>
              <w:top w:val="single" w:color="auto" w:sz="4" w:space="0"/>
              <w:left w:val="nil"/>
              <w:bottom w:val="single" w:color="auto" w:sz="4" w:space="0"/>
              <w:right w:val="single" w:color="auto" w:sz="4" w:space="0"/>
            </w:tcBorders>
            <w:noWrap w:val="0"/>
            <w:vAlign w:val="center"/>
          </w:tcPr>
          <w:p w14:paraId="130A99EC">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3AF3C60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4203924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2EC2BC9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A15041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305D21C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4090B1D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4F0A29FD">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195CBD5B">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931" w:type="dxa"/>
            <w:tcBorders>
              <w:top w:val="single" w:color="auto" w:sz="4" w:space="0"/>
              <w:left w:val="nil"/>
              <w:bottom w:val="single" w:color="auto" w:sz="4" w:space="0"/>
              <w:right w:val="single" w:color="auto" w:sz="4" w:space="0"/>
            </w:tcBorders>
            <w:noWrap w:val="0"/>
            <w:vAlign w:val="center"/>
          </w:tcPr>
          <w:p w14:paraId="618E0CF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11.89</w:t>
            </w:r>
          </w:p>
        </w:tc>
        <w:tc>
          <w:tcPr>
            <w:tcW w:w="807" w:type="dxa"/>
            <w:tcBorders>
              <w:top w:val="single" w:color="auto" w:sz="4" w:space="0"/>
              <w:left w:val="nil"/>
              <w:bottom w:val="single" w:color="auto" w:sz="4" w:space="0"/>
              <w:right w:val="single" w:color="auto" w:sz="4" w:space="0"/>
            </w:tcBorders>
            <w:noWrap w:val="0"/>
            <w:vAlign w:val="center"/>
          </w:tcPr>
          <w:p w14:paraId="6800230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6984063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0F497A7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501CB06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69D4A9D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6FF0841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0B62B4F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3062029F">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1810D0CB">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66FCBA07">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7E4994D8">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2B634A01">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105388E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pacing w:val="-2"/>
                <w:sz w:val="24"/>
              </w:rPr>
              <w:t>该项目</w:t>
            </w:r>
            <w:r>
              <w:rPr>
                <w:rFonts w:hint="eastAsia" w:ascii="仿宋_GB2312" w:hAnsi="仿宋_GB2312" w:eastAsia="仿宋_GB2312" w:cs="仿宋_GB2312"/>
                <w:spacing w:val="-2"/>
                <w:sz w:val="24"/>
                <w:lang w:val="en-US" w:eastAsia="zh-CN"/>
              </w:rPr>
              <w:t>勘察</w:t>
            </w:r>
            <w:r>
              <w:rPr>
                <w:rFonts w:hint="eastAsia" w:ascii="仿宋_GB2312" w:hAnsi="仿宋_GB2312" w:eastAsia="仿宋_GB2312" w:cs="仿宋_GB2312"/>
                <w:sz w:val="24"/>
              </w:rPr>
              <w:t>设计、监理等未达到强制招标的规模标准，核定不采用招标组织方式，</w:t>
            </w:r>
            <w:r>
              <w:rPr>
                <w:rFonts w:hint="eastAsia" w:ascii="仿宋_GB2312" w:hAnsi="仿宋_GB2312" w:eastAsia="仿宋_GB2312" w:cs="仿宋_GB2312"/>
                <w:sz w:val="24"/>
                <w:lang w:val="en-US" w:eastAsia="zh-CN"/>
              </w:rPr>
              <w:t>建安工程费用虽超过强制招标的规模标准，</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第六十六条规定，核定不采用招标组织方式，但需采用竞争性磋商方式组织实施。</w:t>
            </w:r>
          </w:p>
          <w:p w14:paraId="6636246D">
            <w:pPr>
              <w:spacing w:line="240" w:lineRule="atLeast"/>
              <w:ind w:firstLine="435"/>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1187D309">
            <w:pPr>
              <w:rPr>
                <w:rFonts w:hint="eastAsia" w:ascii="仿宋_GB2312" w:hAnsi="仿宋_GB2312" w:eastAsia="仿宋_GB2312" w:cs="仿宋_GB2312"/>
                <w:sz w:val="24"/>
              </w:rPr>
            </w:pPr>
          </w:p>
          <w:p w14:paraId="28CA2263">
            <w:pPr>
              <w:rPr>
                <w:rFonts w:hint="eastAsia" w:ascii="仿宋_GB2312" w:hAnsi="仿宋_GB2312" w:eastAsia="仿宋_GB2312" w:cs="仿宋_GB2312"/>
                <w:sz w:val="24"/>
              </w:rPr>
            </w:pPr>
          </w:p>
          <w:p w14:paraId="2985875F">
            <w:pPr>
              <w:rPr>
                <w:rFonts w:hint="eastAsia" w:ascii="仿宋_GB2312" w:hAnsi="仿宋_GB2312" w:eastAsia="仿宋_GB2312" w:cs="仿宋_GB2312"/>
                <w:sz w:val="24"/>
              </w:rPr>
            </w:pPr>
          </w:p>
          <w:p w14:paraId="1341DE2E">
            <w:pPr>
              <w:rPr>
                <w:rFonts w:hint="eastAsia" w:ascii="仿宋_GB2312" w:hAnsi="仿宋_GB2312" w:eastAsia="仿宋_GB2312" w:cs="仿宋_GB2312"/>
                <w:sz w:val="24"/>
              </w:rPr>
            </w:pPr>
          </w:p>
          <w:p w14:paraId="24A37268">
            <w:pPr>
              <w:rPr>
                <w:rFonts w:hint="eastAsia" w:ascii="仿宋_GB2312" w:hAnsi="仿宋_GB2312" w:eastAsia="仿宋_GB2312" w:cs="仿宋_GB2312"/>
                <w:sz w:val="24"/>
              </w:rPr>
            </w:pPr>
          </w:p>
          <w:p w14:paraId="0799668C">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5E519A05">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日</w:t>
            </w:r>
          </w:p>
          <w:p w14:paraId="0F896A79">
            <w:pPr>
              <w:ind w:firstLine="5040" w:firstLineChars="2100"/>
              <w:rPr>
                <w:rFonts w:hint="eastAsia" w:ascii="仿宋_GB2312" w:hAnsi="仿宋_GB2312" w:eastAsia="仿宋_GB2312" w:cs="仿宋_GB2312"/>
                <w:sz w:val="24"/>
              </w:rPr>
            </w:pPr>
          </w:p>
          <w:p w14:paraId="1B90412C">
            <w:pPr>
              <w:rPr>
                <w:rFonts w:hint="eastAsia" w:ascii="仿宋_GB2312" w:hAnsi="仿宋_GB2312" w:eastAsia="仿宋_GB2312" w:cs="仿宋_GB2312"/>
                <w:sz w:val="24"/>
              </w:rPr>
            </w:pPr>
          </w:p>
        </w:tc>
      </w:tr>
    </w:tbl>
    <w:p w14:paraId="585FE94E">
      <w:pPr>
        <w:spacing w:line="500" w:lineRule="exact"/>
        <w:ind w:firstLine="240" w:firstLineChars="100"/>
        <w:rPr>
          <w:rFonts w:hint="eastAsia" w:ascii="仿宋_GB2312" w:eastAsia="仿宋_GB2312"/>
          <w:sz w:val="24"/>
        </w:rPr>
      </w:pPr>
      <w:r>
        <w:rPr>
          <w:rFonts w:hint="eastAsia" w:ascii="仿宋_GB2312" w:eastAsia="仿宋_GB2312"/>
          <w:sz w:val="24"/>
        </w:rPr>
        <w:t>说明：1、审核部门在表中空格内注明“核准”或者“不予核准”；</w:t>
      </w:r>
    </w:p>
    <w:p w14:paraId="24AEB0C4">
      <w:bookmarkStart w:id="0" w:name="_GoBack"/>
      <w:r>
        <w:rPr>
          <w:rFonts w:hint="eastAsia" w:ascii="仿宋_GB2312" w:eastAsia="仿宋_GB2312"/>
          <w:sz w:val="24"/>
          <w:lang w:val="en-US" w:eastAsia="zh-CN"/>
        </w:rPr>
        <w:t>2.</w:t>
      </w:r>
      <w:bookmarkEnd w:id="0"/>
      <w:r>
        <w:rPr>
          <w:rFonts w:hint="eastAsia" w:ascii="仿宋_GB2312" w:eastAsia="仿宋_GB2312"/>
          <w:sz w:val="24"/>
        </w:rPr>
        <w:t>陵川县建设项目招标核准意见表由陵川县发展改革和科技局负责监制。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423A3"/>
    <w:rsid w:val="1C480132"/>
    <w:rsid w:val="66C4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d6cc0946-fb12-4d3d-8f5c-3748ae5c4edc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105388E0</paraID>
      <start>0</start>
      <end>2</end>
      <status>modified</status>
      <modifiedWord>1.</modifiedWord>
      <trackRevisions>false</trackRevisions>
    </reviewItem>
    <reviewItem>
      <errorID>466a1083-7c32-4ff4-9d6d-b16a2f979ab9</errorID>
      <errorWord>《中华人民共和国招投标法》</errorWord>
      <group>L1_Word</group>
      <groupName>字词问题</groupName>
      <ability>L2_Typo</ability>
      <abilityName>字词错误</abilityName>
      <candidateList>
        <item>《中华人民共和国招标投标法》</item>
      </candidateList>
      <explain/>
      <paraID>105388E0</paraID>
      <start>59</start>
      <end>73</end>
      <status>modified</status>
      <modifiedWord>《中华人民共和国招标投标法》</modifiedWord>
      <trackRevisions>false</trackRevisions>
    </reviewItem>
    <reviewItem>
      <errorID>bd6e68bf-aa44-4f24-985d-5af2685f3e86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6636246D</paraID>
      <start>0</start>
      <end>2</end>
      <status>modified</status>
      <modifiedWord>2.</modifiedWord>
      <trackRevisions>false</trackRevisions>
    </reviewItem>
    <reviewItem>
      <errorID>5d773016-e18f-4473-bd90-8dcdf1bc394b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24AEB0C4</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c0a07e66-cb8c-4997-8139-295286dbd46c}">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386</Words>
  <Characters>428</Characters>
  <Lines>0</Lines>
  <Paragraphs>0</Paragraphs>
  <TotalTime>0</TotalTime>
  <ScaleCrop>false</ScaleCrop>
  <LinksUpToDate>false</LinksUpToDate>
  <CharactersWithSpaces>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2026-05-15T11:03:00Z</dcterms:created>
  <dc:creator>摄鬼波波</dc:creator>
  <cp:lastModifiedBy>摄鬼波波</cp:lastModifiedBy>
  <dcterms:modified xsi:type="dcterms:W3CDTF">2026-05-16T06:03:11Z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4A2975851EC749A296DCE28B5A2A2B08_11</vt:lpwstr>
  </property>
  <property fmtid="{D5CDD505-2E9C-101B-9397-08002B2CF9AE}" pid="4" name="KSOTemplateDocerSaveRecord">
    <vt:lpwstr>eyJoZGlkIjoiMGZlNzU1NDAyMWExZTFjNjQxOThkMGQ0YmQ2OTMwZGMiLCJ1c2VySWQiOiIyMTIwOTUyIn0=</vt:lpwstr>
  </property>
</Properties>
</file>